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BFC4D9">
      <w:pPr>
        <w:pStyle w:val="43"/>
        <w:spacing w:line="360" w:lineRule="auto"/>
        <w:ind w:right="-285" w:firstLine="142"/>
        <w:jc w:val="center"/>
        <w:rPr>
          <w:rFonts w:ascii="Times New Roman" w:hAnsi="Times New Roman" w:cs="Times New Roman"/>
          <w:b/>
          <w:sz w:val="24"/>
          <w:szCs w:val="24"/>
        </w:rPr>
      </w:pPr>
      <w:r>
        <w:rPr>
          <w:rFonts w:ascii="Times New Roman" w:hAnsi="Times New Roman" w:cs="Times New Roman"/>
          <w:b/>
          <w:sz w:val="24"/>
          <w:szCs w:val="24"/>
        </w:rPr>
        <w:t xml:space="preserve"> EDITAL DE PREGÃO ELETRÔNICO (AQUISIÇÃO DE BENS) </w:t>
      </w:r>
    </w:p>
    <w:p w14:paraId="6A6259CF">
      <w:pPr>
        <w:pStyle w:val="43"/>
        <w:spacing w:line="360" w:lineRule="auto"/>
        <w:ind w:right="-285" w:firstLine="142"/>
        <w:jc w:val="center"/>
        <w:rPr>
          <w:rFonts w:ascii="Times New Roman" w:hAnsi="Times New Roman" w:cs="Times New Roman"/>
          <w:b/>
          <w:sz w:val="24"/>
          <w:szCs w:val="24"/>
        </w:rPr>
      </w:pPr>
      <w:r>
        <w:rPr>
          <w:rFonts w:ascii="Times New Roman" w:hAnsi="Times New Roman" w:cs="Times New Roman"/>
          <w:b/>
          <w:sz w:val="24"/>
          <w:szCs w:val="24"/>
        </w:rPr>
        <w:t>PREGÃO ELETRÔNICO PE – Nº 900</w:t>
      </w:r>
      <w:r>
        <w:rPr>
          <w:rFonts w:hint="default" w:ascii="Times New Roman" w:hAnsi="Times New Roman" w:cs="Times New Roman"/>
          <w:b/>
          <w:sz w:val="24"/>
          <w:szCs w:val="24"/>
          <w:lang w:val="pt-BR"/>
        </w:rPr>
        <w:t>37</w:t>
      </w:r>
      <w:r>
        <w:rPr>
          <w:rFonts w:ascii="Times New Roman" w:hAnsi="Times New Roman" w:cs="Times New Roman"/>
          <w:b/>
          <w:sz w:val="24"/>
          <w:szCs w:val="24"/>
        </w:rPr>
        <w:t xml:space="preserve">/2026 - </w:t>
      </w:r>
      <w:r>
        <w:rPr>
          <w:rFonts w:ascii="Times New Roman" w:hAnsi="Times New Roman" w:cs="Times New Roman"/>
          <w:b/>
          <w:sz w:val="24"/>
          <w:szCs w:val="24"/>
          <w:highlight w:val="yellow"/>
        </w:rPr>
        <w:t>Registro de Preços</w:t>
      </w:r>
    </w:p>
    <w:p w14:paraId="475F701D">
      <w:pPr>
        <w:spacing w:line="288" w:lineRule="auto"/>
        <w:contextualSpacing/>
        <w:jc w:val="both"/>
        <w:rPr>
          <w:color w:val="405CA1"/>
          <w:sz w:val="24"/>
          <w:szCs w:val="24"/>
        </w:rPr>
      </w:pPr>
      <w:r>
        <w:rPr>
          <w:sz w:val="24"/>
          <w:szCs w:val="24"/>
        </w:rPr>
        <w:t xml:space="preserve">                                              </w:t>
      </w:r>
    </w:p>
    <w:p w14:paraId="335CDEA1">
      <w:pPr>
        <w:spacing w:line="288" w:lineRule="auto"/>
        <w:contextualSpacing/>
        <w:jc w:val="both"/>
        <w:rPr>
          <w:b/>
          <w:bCs/>
          <w:color w:val="558ED5" w:themeColor="text2" w:themeTint="99"/>
          <w:sz w:val="24"/>
          <w:szCs w:val="24"/>
          <w14:textFill>
            <w14:solidFill>
              <w14:schemeClr w14:val="tx2">
                <w14:lumMod w14:val="60000"/>
                <w14:lumOff w14:val="40000"/>
              </w14:schemeClr>
            </w14:solidFill>
          </w14:textFill>
        </w:rPr>
      </w:pPr>
      <w:r>
        <w:rPr>
          <w:b/>
          <w:bCs/>
          <w:color w:val="558ED5" w:themeColor="text2" w:themeTint="99"/>
          <w:sz w:val="24"/>
          <w:szCs w:val="24"/>
          <w14:textFill>
            <w14:solidFill>
              <w14:schemeClr w14:val="tx2">
                <w14:lumMod w14:val="60000"/>
                <w14:lumOff w14:val="40000"/>
              </w14:schemeClr>
            </w14:solidFill>
          </w14:textFill>
        </w:rPr>
        <w:t>ÓRGÃO/ENTIDADE GERENCIADORA - Unidade Gestora – UG: 985921</w:t>
      </w:r>
    </w:p>
    <w:p w14:paraId="0CD59504">
      <w:pPr>
        <w:spacing w:line="288" w:lineRule="auto"/>
        <w:contextualSpacing/>
        <w:jc w:val="both"/>
        <w:rPr>
          <w:sz w:val="24"/>
          <w:szCs w:val="24"/>
        </w:rPr>
      </w:pPr>
      <w:r>
        <w:rPr>
          <w:sz w:val="24"/>
          <w:szCs w:val="24"/>
        </w:rPr>
        <w:t>MUNICÍPIO DE VALENÇA RJ, PELA SECRETARIA MUNICIPAL DE ASSISTÊNCIA, ESPORTE E ENVELHECIMENTO SAUDÁVEL.</w:t>
      </w:r>
    </w:p>
    <w:p w14:paraId="0E519076">
      <w:pPr>
        <w:spacing w:line="288" w:lineRule="auto"/>
        <w:contextualSpacing/>
        <w:jc w:val="both"/>
        <w:rPr>
          <w:color w:val="FF0000"/>
          <w:sz w:val="24"/>
          <w:szCs w:val="24"/>
        </w:rPr>
      </w:pPr>
    </w:p>
    <w:p w14:paraId="27F33988">
      <w:pPr>
        <w:spacing w:line="288" w:lineRule="auto"/>
        <w:contextualSpacing/>
        <w:jc w:val="both"/>
        <w:rPr>
          <w:b/>
          <w:bCs/>
          <w:color w:val="558ED5" w:themeColor="text2" w:themeTint="99"/>
          <w:sz w:val="24"/>
          <w:szCs w:val="24"/>
          <w14:textFill>
            <w14:solidFill>
              <w14:schemeClr w14:val="tx2">
                <w14:lumMod w14:val="60000"/>
                <w14:lumOff w14:val="40000"/>
              </w14:schemeClr>
            </w14:solidFill>
          </w14:textFill>
        </w:rPr>
      </w:pPr>
      <w:r>
        <w:rPr>
          <w:b/>
          <w:bCs/>
          <w:color w:val="558ED5" w:themeColor="text2" w:themeTint="99"/>
          <w:sz w:val="24"/>
          <w:szCs w:val="24"/>
          <w14:textFill>
            <w14:solidFill>
              <w14:schemeClr w14:val="tx2">
                <w14:lumMod w14:val="60000"/>
                <w14:lumOff w14:val="40000"/>
              </w14:schemeClr>
            </w14:solidFill>
          </w14:textFill>
        </w:rPr>
        <w:t>OBJETO</w:t>
      </w:r>
    </w:p>
    <w:p w14:paraId="1DF2429A">
      <w:pPr>
        <w:spacing w:line="288" w:lineRule="auto"/>
        <w:contextualSpacing/>
        <w:jc w:val="both"/>
        <w:rPr>
          <w:color w:val="000000"/>
          <w:sz w:val="24"/>
          <w:szCs w:val="24"/>
        </w:rPr>
      </w:pPr>
      <w:r>
        <w:rPr>
          <w:sz w:val="24"/>
          <w:szCs w:val="24"/>
        </w:rPr>
        <w:t>Aquisição de urnas mortuárias em madeira, destinadas ao atendimento de famílias em situação de vulnerabilidade social, no âmbito da concessão de benefícios eventuais (auxílio funeral).</w:t>
      </w:r>
    </w:p>
    <w:p w14:paraId="5EBB0960">
      <w:pPr>
        <w:spacing w:line="288" w:lineRule="auto"/>
        <w:contextualSpacing/>
        <w:jc w:val="both"/>
        <w:rPr>
          <w:rFonts w:asciiTheme="minorHAnsi" w:hAnsiTheme="minorHAnsi" w:cstheme="minorHAnsi"/>
          <w:b/>
          <w:bCs/>
          <w:color w:val="405CA1"/>
          <w:sz w:val="24"/>
          <w:szCs w:val="24"/>
        </w:rPr>
      </w:pPr>
    </w:p>
    <w:p w14:paraId="6FBF6236">
      <w:pPr>
        <w:spacing w:line="288" w:lineRule="auto"/>
        <w:contextualSpacing/>
        <w:jc w:val="both"/>
        <w:rPr>
          <w:b/>
          <w:bCs/>
          <w:color w:val="558ED5" w:themeColor="text2" w:themeTint="99"/>
          <w:sz w:val="24"/>
          <w:szCs w:val="24"/>
          <w14:textFill>
            <w14:solidFill>
              <w14:schemeClr w14:val="tx2">
                <w14:lumMod w14:val="60000"/>
                <w14:lumOff w14:val="40000"/>
              </w14:schemeClr>
            </w14:solidFill>
          </w14:textFill>
        </w:rPr>
      </w:pPr>
      <w:r>
        <w:rPr>
          <w:b/>
          <w:bCs/>
          <w:color w:val="558ED5" w:themeColor="text2" w:themeTint="99"/>
          <w:sz w:val="24"/>
          <w:szCs w:val="24"/>
          <w14:textFill>
            <w14:solidFill>
              <w14:schemeClr w14:val="tx2">
                <w14:lumMod w14:val="60000"/>
                <w14:lumOff w14:val="40000"/>
              </w14:schemeClr>
            </w14:solidFill>
          </w14:textFill>
        </w:rPr>
        <w:t>VALOR TOTAL ESTIMADO DA CONTRATAÇÃO</w:t>
      </w:r>
    </w:p>
    <w:p w14:paraId="1C27A336">
      <w:pPr>
        <w:rPr>
          <w:sz w:val="24"/>
          <w:szCs w:val="24"/>
        </w:rPr>
      </w:pPr>
    </w:p>
    <w:p w14:paraId="37AD102E">
      <w:pPr>
        <w:spacing w:line="288" w:lineRule="auto"/>
        <w:contextualSpacing/>
        <w:jc w:val="both"/>
        <w:rPr>
          <w:color w:val="FF0000"/>
          <w:sz w:val="24"/>
          <w:szCs w:val="24"/>
        </w:rPr>
      </w:pPr>
      <w:r>
        <w:rPr>
          <w:b/>
          <w:bCs/>
          <w:sz w:val="24"/>
          <w:szCs w:val="24"/>
        </w:rPr>
        <w:t>R$</w:t>
      </w:r>
      <w:r>
        <w:rPr>
          <w:b/>
          <w:bCs/>
          <w:color w:val="FF0000"/>
          <w:sz w:val="24"/>
          <w:szCs w:val="24"/>
        </w:rPr>
        <w:t xml:space="preserve"> </w:t>
      </w:r>
      <w:r>
        <w:rPr>
          <w:b/>
          <w:sz w:val="24"/>
          <w:szCs w:val="24"/>
        </w:rPr>
        <w:t>168.200,00</w:t>
      </w:r>
      <w:r>
        <w:rPr>
          <w:b/>
          <w:bCs/>
          <w:sz w:val="24"/>
          <w:szCs w:val="24"/>
        </w:rPr>
        <w:t xml:space="preserve"> </w:t>
      </w:r>
      <w:r>
        <w:rPr>
          <w:rFonts w:eastAsia="Cambria"/>
          <w:b/>
          <w:sz w:val="24"/>
          <w:szCs w:val="24"/>
        </w:rPr>
        <w:t>(cento e sessenta e oito mil e duzentos reais).</w:t>
      </w:r>
    </w:p>
    <w:p w14:paraId="5C03EC30">
      <w:pPr>
        <w:spacing w:line="288" w:lineRule="auto"/>
        <w:contextualSpacing/>
        <w:jc w:val="both"/>
        <w:rPr>
          <w:color w:val="FF0000"/>
          <w:sz w:val="24"/>
          <w:szCs w:val="24"/>
        </w:rPr>
      </w:pPr>
    </w:p>
    <w:p w14:paraId="5249BEEB">
      <w:pPr>
        <w:spacing w:line="288" w:lineRule="auto"/>
        <w:contextualSpacing/>
        <w:jc w:val="both"/>
        <w:rPr>
          <w:b/>
          <w:bCs/>
          <w:color w:val="558ED5" w:themeColor="text2" w:themeTint="99"/>
          <w:sz w:val="24"/>
          <w:szCs w:val="24"/>
          <w14:textFill>
            <w14:solidFill>
              <w14:schemeClr w14:val="tx2">
                <w14:lumMod w14:val="60000"/>
                <w14:lumOff w14:val="40000"/>
              </w14:schemeClr>
            </w14:solidFill>
          </w14:textFill>
        </w:rPr>
      </w:pPr>
      <w:r>
        <w:rPr>
          <w:b/>
          <w:bCs/>
          <w:color w:val="558ED5" w:themeColor="text2" w:themeTint="99"/>
          <w:sz w:val="24"/>
          <w:szCs w:val="24"/>
          <w14:textFill>
            <w14:solidFill>
              <w14:schemeClr w14:val="tx2">
                <w14:lumMod w14:val="60000"/>
                <w14:lumOff w14:val="40000"/>
              </w14:schemeClr>
            </w14:solidFill>
          </w14:textFill>
        </w:rPr>
        <w:t>DATA DA SESSÃO PÚBLICA</w:t>
      </w:r>
    </w:p>
    <w:p w14:paraId="54E70EEA">
      <w:pPr>
        <w:spacing w:line="288" w:lineRule="auto"/>
        <w:contextualSpacing/>
        <w:jc w:val="both"/>
        <w:rPr>
          <w:b/>
          <w:bCs/>
          <w:color w:val="405CA1"/>
          <w:sz w:val="24"/>
          <w:szCs w:val="24"/>
        </w:rPr>
      </w:pPr>
    </w:p>
    <w:p w14:paraId="722E1782">
      <w:pPr>
        <w:spacing w:line="240" w:lineRule="auto"/>
        <w:contextualSpacing/>
        <w:jc w:val="both"/>
        <w:rPr>
          <w:b/>
          <w:bCs/>
          <w:i/>
          <w:iCs/>
          <w:color w:val="5B5B5F"/>
          <w:sz w:val="24"/>
          <w:szCs w:val="24"/>
          <w:u w:val="single"/>
        </w:rPr>
      </w:pPr>
      <w:r>
        <w:rPr>
          <w:b/>
          <w:bCs/>
          <w:i/>
          <w:iCs/>
          <w:color w:val="5B5B5F"/>
          <w:sz w:val="24"/>
          <w:szCs w:val="24"/>
          <w:u w:val="single"/>
        </w:rPr>
        <w:t xml:space="preserve">Dia </w:t>
      </w:r>
      <w:r>
        <w:rPr>
          <w:rFonts w:hint="default"/>
          <w:b/>
          <w:bCs/>
          <w:i/>
          <w:iCs/>
          <w:color w:val="5B5B5F"/>
          <w:sz w:val="24"/>
          <w:szCs w:val="24"/>
          <w:u w:val="single"/>
          <w:lang w:val="pt-BR"/>
        </w:rPr>
        <w:t>11</w:t>
      </w:r>
      <w:r>
        <w:rPr>
          <w:b/>
          <w:bCs/>
          <w:i/>
          <w:iCs/>
          <w:color w:val="5B5B5F"/>
          <w:sz w:val="24"/>
          <w:szCs w:val="24"/>
          <w:u w:val="single"/>
        </w:rPr>
        <w:t>/</w:t>
      </w:r>
      <w:r>
        <w:rPr>
          <w:rFonts w:hint="default"/>
          <w:b/>
          <w:bCs/>
          <w:i/>
          <w:iCs/>
          <w:color w:val="5B5B5F"/>
          <w:sz w:val="24"/>
          <w:szCs w:val="24"/>
          <w:u w:val="single"/>
          <w:lang w:val="pt-BR"/>
        </w:rPr>
        <w:t>06</w:t>
      </w:r>
      <w:r>
        <w:rPr>
          <w:b/>
          <w:bCs/>
          <w:i/>
          <w:iCs/>
          <w:color w:val="5B5B5F"/>
          <w:sz w:val="24"/>
          <w:szCs w:val="24"/>
          <w:u w:val="single"/>
        </w:rPr>
        <w:t xml:space="preserve">/2026 às </w:t>
      </w:r>
      <w:r>
        <w:rPr>
          <w:rFonts w:hint="default"/>
          <w:b/>
          <w:bCs/>
          <w:i/>
          <w:iCs/>
          <w:color w:val="5B5B5F"/>
          <w:sz w:val="24"/>
          <w:szCs w:val="24"/>
          <w:u w:val="single"/>
          <w:lang w:val="pt-BR"/>
        </w:rPr>
        <w:t>10</w:t>
      </w:r>
      <w:r>
        <w:rPr>
          <w:b/>
          <w:bCs/>
          <w:i/>
          <w:iCs/>
          <w:sz w:val="24"/>
          <w:szCs w:val="24"/>
          <w:u w:val="single"/>
        </w:rPr>
        <w:t>h</w:t>
      </w:r>
      <w:r>
        <w:rPr>
          <w:b/>
          <w:bCs/>
          <w:i/>
          <w:iCs/>
          <w:color w:val="5B5B5F"/>
          <w:sz w:val="24"/>
          <w:szCs w:val="24"/>
          <w:u w:val="single"/>
        </w:rPr>
        <w:t xml:space="preserve"> (horário de Brasília)</w:t>
      </w:r>
    </w:p>
    <w:p w14:paraId="6D48C3C5">
      <w:pPr>
        <w:spacing w:line="288" w:lineRule="auto"/>
        <w:contextualSpacing/>
        <w:jc w:val="both"/>
        <w:rPr>
          <w:b/>
          <w:bCs/>
          <w:i/>
          <w:iCs/>
          <w:color w:val="558ED5" w:themeColor="text2" w:themeTint="99"/>
          <w:sz w:val="24"/>
          <w:szCs w:val="24"/>
          <w:u w:val="single"/>
          <w14:textFill>
            <w14:solidFill>
              <w14:schemeClr w14:val="tx2">
                <w14:lumMod w14:val="60000"/>
                <w14:lumOff w14:val="40000"/>
              </w14:schemeClr>
            </w14:solidFill>
          </w14:textFill>
        </w:rPr>
      </w:pPr>
    </w:p>
    <w:p w14:paraId="7E3F2FEA">
      <w:pPr>
        <w:spacing w:line="288" w:lineRule="auto"/>
        <w:contextualSpacing/>
        <w:jc w:val="both"/>
        <w:rPr>
          <w:caps/>
          <w:color w:val="558ED5" w:themeColor="text2" w:themeTint="99"/>
          <w:sz w:val="24"/>
          <w:szCs w:val="24"/>
          <w14:textFill>
            <w14:solidFill>
              <w14:schemeClr w14:val="tx2">
                <w14:lumMod w14:val="60000"/>
                <w14:lumOff w14:val="40000"/>
              </w14:schemeClr>
            </w14:solidFill>
          </w14:textFill>
        </w:rPr>
      </w:pPr>
      <w:r>
        <w:rPr>
          <w:b/>
          <w:bCs/>
          <w:caps/>
          <w:color w:val="558ED5" w:themeColor="text2" w:themeTint="99"/>
          <w:sz w:val="24"/>
          <w:szCs w:val="24"/>
          <w14:textFill>
            <w14:solidFill>
              <w14:schemeClr w14:val="tx2">
                <w14:lumMod w14:val="60000"/>
                <w14:lumOff w14:val="40000"/>
              </w14:schemeClr>
            </w14:solidFill>
          </w14:textFill>
        </w:rPr>
        <w:t>Critério de Julgamento:</w:t>
      </w:r>
    </w:p>
    <w:p w14:paraId="1F4F49E3">
      <w:pPr>
        <w:spacing w:line="288" w:lineRule="auto"/>
        <w:contextualSpacing/>
        <w:jc w:val="both"/>
        <w:rPr>
          <w:rFonts w:hint="default" w:asciiTheme="minorHAnsi" w:hAnsiTheme="minorHAnsi" w:cstheme="minorHAnsi"/>
          <w:sz w:val="24"/>
          <w:szCs w:val="24"/>
          <w:lang w:val="pt-BR"/>
        </w:rPr>
      </w:pPr>
      <w:r>
        <w:rPr>
          <w:sz w:val="24"/>
          <w:szCs w:val="24"/>
        </w:rPr>
        <w:t xml:space="preserve">MENOR PREÇO POR </w:t>
      </w:r>
      <w:r>
        <w:rPr>
          <w:rFonts w:hint="default"/>
          <w:sz w:val="24"/>
          <w:szCs w:val="24"/>
          <w:lang w:val="pt-BR"/>
        </w:rPr>
        <w:t>LOTE</w:t>
      </w:r>
      <w:bookmarkStart w:id="49" w:name="_GoBack"/>
      <w:bookmarkEnd w:id="49"/>
    </w:p>
    <w:p w14:paraId="76271619">
      <w:pPr>
        <w:spacing w:line="288" w:lineRule="auto"/>
        <w:contextualSpacing/>
        <w:jc w:val="both"/>
        <w:rPr>
          <w:caps/>
          <w:color w:val="558ED5" w:themeColor="text2" w:themeTint="99"/>
          <w:sz w:val="24"/>
          <w:szCs w:val="24"/>
          <w14:textFill>
            <w14:solidFill>
              <w14:schemeClr w14:val="tx2">
                <w14:lumMod w14:val="60000"/>
                <w14:lumOff w14:val="40000"/>
              </w14:schemeClr>
            </w14:solidFill>
          </w14:textFill>
        </w:rPr>
      </w:pPr>
      <w:r>
        <w:rPr>
          <w:b/>
          <w:bCs/>
          <w:caps/>
          <w:color w:val="558ED5" w:themeColor="text2" w:themeTint="99"/>
          <w:sz w:val="24"/>
          <w:szCs w:val="24"/>
          <w14:textFill>
            <w14:solidFill>
              <w14:schemeClr w14:val="tx2">
                <w14:lumMod w14:val="60000"/>
                <w14:lumOff w14:val="40000"/>
              </w14:schemeClr>
            </w14:solidFill>
          </w14:textFill>
        </w:rPr>
        <w:t>Modo de disputa:</w:t>
      </w:r>
    </w:p>
    <w:p w14:paraId="5487AE73">
      <w:pPr>
        <w:spacing w:line="288" w:lineRule="auto"/>
        <w:contextualSpacing/>
        <w:jc w:val="both"/>
        <w:rPr>
          <w:sz w:val="24"/>
          <w:szCs w:val="24"/>
        </w:rPr>
      </w:pPr>
      <w:r>
        <w:rPr>
          <w:sz w:val="24"/>
          <w:szCs w:val="24"/>
        </w:rPr>
        <w:t>ABERTO E FECHADO</w:t>
      </w:r>
    </w:p>
    <w:p w14:paraId="743C44DF">
      <w:pPr>
        <w:pStyle w:val="81"/>
        <w:spacing w:before="0" w:beforeAutospacing="0" w:after="0" w:afterAutospacing="0" w:line="288" w:lineRule="auto"/>
        <w:ind w:right="-1"/>
        <w:contextualSpacing/>
        <w:jc w:val="both"/>
        <w:rPr>
          <w:rFonts w:eastAsia="Calibri"/>
          <w:b/>
          <w:bCs/>
          <w:lang w:eastAsia="en-US"/>
        </w:rPr>
      </w:pPr>
    </w:p>
    <w:p w14:paraId="472B09B6">
      <w:pPr>
        <w:spacing w:line="288" w:lineRule="auto"/>
        <w:ind w:firstLine="567"/>
        <w:contextualSpacing/>
        <w:jc w:val="center"/>
        <w:rPr>
          <w:b/>
          <w:i/>
          <w:color w:val="FF0000"/>
          <w:sz w:val="24"/>
          <w:szCs w:val="24"/>
        </w:rPr>
      </w:pPr>
    </w:p>
    <w:p w14:paraId="3ABEC8D2">
      <w:pPr>
        <w:spacing w:line="288" w:lineRule="auto"/>
        <w:contextualSpacing/>
        <w:jc w:val="both"/>
        <w:rPr>
          <w:sz w:val="24"/>
          <w:szCs w:val="24"/>
        </w:rPr>
      </w:pPr>
      <w:r>
        <w:rPr>
          <w:sz w:val="24"/>
          <w:szCs w:val="24"/>
        </w:rPr>
        <w:t xml:space="preserve">MUNICÍPIO DE VALENÇA RJ, PELA SECRETARIA MUNICIPAL DE ASSISTÊNCIA, ESPORTE E ENVELHECIMENTO SAUDÁVEL. </w:t>
      </w:r>
    </w:p>
    <w:p w14:paraId="37B5584A">
      <w:pPr>
        <w:spacing w:before="288" w:beforeLines="120" w:after="288" w:afterLines="120" w:line="288" w:lineRule="auto"/>
        <w:ind w:firstLine="567"/>
        <w:contextualSpacing/>
        <w:jc w:val="center"/>
        <w:rPr>
          <w:b/>
          <w:color w:val="auto"/>
          <w:sz w:val="24"/>
          <w:szCs w:val="24"/>
        </w:rPr>
      </w:pPr>
    </w:p>
    <w:p w14:paraId="4308D923">
      <w:pPr>
        <w:spacing w:before="288" w:beforeLines="120" w:after="288" w:afterLines="120" w:line="288" w:lineRule="auto"/>
        <w:contextualSpacing/>
        <w:rPr>
          <w:b/>
          <w:color w:val="auto"/>
          <w:sz w:val="24"/>
          <w:szCs w:val="24"/>
        </w:rPr>
      </w:pPr>
      <w:r>
        <w:rPr>
          <w:b/>
          <w:color w:val="auto"/>
          <w:sz w:val="24"/>
          <w:szCs w:val="24"/>
        </w:rPr>
        <w:t>PREGÃO ELETRÔNICO Nº 9</w:t>
      </w:r>
      <w:r>
        <w:rPr>
          <w:rFonts w:hint="default"/>
          <w:b/>
          <w:color w:val="auto"/>
          <w:sz w:val="24"/>
          <w:szCs w:val="24"/>
          <w:lang w:val="pt-BR"/>
        </w:rPr>
        <w:t>0037</w:t>
      </w:r>
      <w:r>
        <w:rPr>
          <w:b/>
          <w:color w:val="auto"/>
          <w:sz w:val="24"/>
          <w:szCs w:val="24"/>
        </w:rPr>
        <w:t>/2026</w:t>
      </w:r>
    </w:p>
    <w:p w14:paraId="457EEDC7">
      <w:pPr>
        <w:spacing w:before="288" w:beforeLines="120" w:after="288" w:afterLines="120" w:line="288" w:lineRule="auto"/>
        <w:ind w:firstLine="567"/>
        <w:contextualSpacing/>
        <w:jc w:val="center"/>
        <w:rPr>
          <w:bCs/>
          <w:color w:val="000000"/>
          <w:sz w:val="24"/>
          <w:szCs w:val="24"/>
        </w:rPr>
      </w:pPr>
      <w:r>
        <w:rPr>
          <w:color w:val="000000"/>
          <w:sz w:val="24"/>
          <w:szCs w:val="24"/>
        </w:rPr>
        <w:t xml:space="preserve">   </w:t>
      </w:r>
    </w:p>
    <w:p w14:paraId="3174D1DF">
      <w:pPr>
        <w:spacing w:line="288" w:lineRule="auto"/>
        <w:contextualSpacing/>
        <w:jc w:val="both"/>
        <w:rPr>
          <w:sz w:val="24"/>
          <w:szCs w:val="24"/>
        </w:rPr>
      </w:pPr>
      <w:r>
        <w:rPr>
          <w:color w:val="000000"/>
          <w:sz w:val="24"/>
          <w:szCs w:val="24"/>
        </w:rPr>
        <w:t xml:space="preserve">Torna-se público que o </w:t>
      </w:r>
      <w:r>
        <w:rPr>
          <w:iCs/>
          <w:sz w:val="24"/>
          <w:szCs w:val="24"/>
        </w:rPr>
        <w:t>MUNICÍPIO DE VALENÇA</w:t>
      </w:r>
      <w:r>
        <w:rPr>
          <w:sz w:val="24"/>
          <w:szCs w:val="24"/>
        </w:rPr>
        <w:t>, PELA SECRETARIA MUNICIPAL DE ASSISTÊNCIA, ESPORTE E ENVELHECIMENTO SAUDÁVEL</w:t>
      </w:r>
      <w:r>
        <w:rPr>
          <w:iCs/>
          <w:color w:val="000000"/>
          <w:sz w:val="24"/>
          <w:szCs w:val="24"/>
        </w:rPr>
        <w:t xml:space="preserve">, sediada Rua Comendadora Araújo Leite, n° 373, Centro, Valença, RJ, </w:t>
      </w:r>
      <w:r>
        <w:rPr>
          <w:color w:val="000000"/>
          <w:sz w:val="24"/>
          <w:szCs w:val="24"/>
        </w:rPr>
        <w:t xml:space="preserve"> realizará licitação, na modalidade PREGÃO, na forma ELETRÔNICA, para REGISTRO DE PREÇOS, nos termos do processo SEI nº VLC-020514/000356/2026</w:t>
      </w:r>
      <w:r>
        <w:rPr>
          <w:color w:val="000000" w:themeColor="text1"/>
          <w:sz w:val="24"/>
          <w:szCs w:val="24"/>
          <w14:textFill>
            <w14:solidFill>
              <w14:schemeClr w14:val="tx1"/>
            </w14:solidFill>
          </w14:textFill>
        </w:rPr>
        <w:t xml:space="preserve">, </w:t>
      </w:r>
      <w:r>
        <w:rPr>
          <w:color w:val="000000"/>
          <w:sz w:val="24"/>
          <w:szCs w:val="24"/>
        </w:rPr>
        <w:t xml:space="preserve">da </w:t>
      </w:r>
      <w:r>
        <w:fldChar w:fldCharType="begin"/>
      </w:r>
      <w:r>
        <w:instrText xml:space="preserve"> HYPERLINK "http://www.planalto.gov.br/ccivil_03/_ato2019-2022/2021/lei/L14133.htm" </w:instrText>
      </w:r>
      <w:r>
        <w:fldChar w:fldCharType="separate"/>
      </w:r>
      <w:r>
        <w:rPr>
          <w:rStyle w:val="14"/>
          <w:rFonts w:eastAsiaTheme="minorHAnsi"/>
          <w:sz w:val="24"/>
          <w:szCs w:val="24"/>
        </w:rPr>
        <w:t>Lei nº 14.133, de 1º de abril de 2021</w:t>
      </w:r>
      <w:r>
        <w:rPr>
          <w:rStyle w:val="14"/>
          <w:rFonts w:eastAsiaTheme="minorHAnsi"/>
          <w:sz w:val="24"/>
          <w:szCs w:val="24"/>
        </w:rPr>
        <w:fldChar w:fldCharType="end"/>
      </w:r>
      <w:r>
        <w:rPr>
          <w:sz w:val="24"/>
          <w:szCs w:val="24"/>
        </w:rPr>
        <w:t xml:space="preserve">, do Decreto nº 46 de 25 de fevereiro de 2025, </w:t>
      </w:r>
      <w:r>
        <w:rPr>
          <w:rFonts w:eastAsia="Arial"/>
          <w:sz w:val="24"/>
          <w:szCs w:val="24"/>
        </w:rPr>
        <w:t xml:space="preserve">e dos demais normativos municipais aplicáveis, todos disponíveis </w:t>
      </w:r>
      <w:r>
        <w:rPr>
          <w:sz w:val="24"/>
          <w:szCs w:val="24"/>
        </w:rPr>
        <w:t>no endereço eletrônico www.valenca.rj.gov.br, e, ainda, de acordo com as condições estabelecidas neste Edital.</w:t>
      </w:r>
    </w:p>
    <w:p w14:paraId="69A42509">
      <w:pPr>
        <w:pStyle w:val="81"/>
        <w:spacing w:before="0" w:beforeAutospacing="0" w:after="0" w:afterAutospacing="0" w:line="288" w:lineRule="auto"/>
        <w:ind w:right="-1"/>
        <w:contextualSpacing/>
        <w:jc w:val="both"/>
        <w:rPr>
          <w:rFonts w:eastAsia="Calibri" w:asciiTheme="minorHAnsi" w:hAnsiTheme="minorHAnsi" w:cstheme="minorHAnsi"/>
          <w:b/>
          <w:bCs/>
          <w:lang w:eastAsia="en-US"/>
        </w:rPr>
      </w:pPr>
    </w:p>
    <w:p w14:paraId="592DBFFB">
      <w:pPr>
        <w:pStyle w:val="81"/>
        <w:numPr>
          <w:ilvl w:val="0"/>
          <w:numId w:val="4"/>
        </w:numPr>
        <w:spacing w:before="0" w:beforeAutospacing="0" w:after="0" w:afterAutospacing="0" w:line="288" w:lineRule="auto"/>
        <w:ind w:right="-1"/>
        <w:contextualSpacing/>
        <w:jc w:val="both"/>
        <w:rPr>
          <w:rFonts w:eastAsia="Calibri"/>
          <w:b/>
          <w:bCs/>
          <w:lang w:eastAsia="en-US"/>
        </w:rPr>
      </w:pPr>
      <w:r>
        <w:rPr>
          <w:rFonts w:eastAsia="Calibri"/>
          <w:b/>
          <w:bCs/>
          <w:lang w:eastAsia="en-US"/>
        </w:rPr>
        <w:t>OBJETO</w:t>
      </w:r>
    </w:p>
    <w:p w14:paraId="4E7E1FEE">
      <w:pPr>
        <w:pStyle w:val="81"/>
        <w:spacing w:before="0" w:beforeAutospacing="0" w:after="0" w:afterAutospacing="0" w:line="288" w:lineRule="auto"/>
        <w:ind w:right="-1"/>
        <w:contextualSpacing/>
        <w:jc w:val="both"/>
        <w:rPr>
          <w:rFonts w:eastAsia="Calibri"/>
          <w:b/>
          <w:bCs/>
          <w:lang w:eastAsia="en-US"/>
        </w:rPr>
      </w:pPr>
    </w:p>
    <w:p w14:paraId="4808F22F">
      <w:pPr>
        <w:spacing w:line="288" w:lineRule="auto"/>
        <w:contextualSpacing/>
        <w:jc w:val="both"/>
        <w:rPr>
          <w:color w:val="000000"/>
          <w:sz w:val="24"/>
          <w:szCs w:val="24"/>
        </w:rPr>
      </w:pPr>
      <w:r>
        <w:rPr>
          <w:rFonts w:eastAsia="Cambria"/>
          <w:sz w:val="24"/>
          <w:szCs w:val="24"/>
        </w:rPr>
        <w:t xml:space="preserve">1.1 </w:t>
      </w:r>
      <w:r>
        <w:rPr>
          <w:sz w:val="24"/>
          <w:szCs w:val="24"/>
        </w:rPr>
        <w:t>Aquisição de urnas mortuárias em madeira, destinadas ao atendimento de famílias em situação de vulnerabilidade social, no âmbito da concessão de benefícios eventuais (auxílio funeral).</w:t>
      </w:r>
    </w:p>
    <w:p w14:paraId="6BE42B8A">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eastAsia="Calibri" w:cs="Times New Roman"/>
          <w:sz w:val="24"/>
          <w:szCs w:val="24"/>
          <w:lang w:eastAsia="en-US"/>
        </w:rPr>
        <w:t xml:space="preserve">1.2 </w:t>
      </w:r>
      <w:r>
        <w:rPr>
          <w:rFonts w:ascii="Times New Roman" w:hAnsi="Times New Roman" w:cs="Times New Roman"/>
          <w:color w:val="auto"/>
          <w:sz w:val="24"/>
          <w:szCs w:val="24"/>
        </w:rPr>
        <w:t>A licitação será dividida em vários itens, conforme tabela abaixo, facultando-se ao licitante a participação se for do seu interesse.</w:t>
      </w:r>
    </w:p>
    <w:tbl>
      <w:tblPr>
        <w:tblStyle w:val="9"/>
        <w:tblW w:w="10711" w:type="dxa"/>
        <w:tblInd w:w="-577" w:type="dxa"/>
        <w:tblLayout w:type="autofit"/>
        <w:tblCellMar>
          <w:top w:w="0" w:type="dxa"/>
          <w:left w:w="0" w:type="dxa"/>
          <w:bottom w:w="0" w:type="dxa"/>
          <w:right w:w="0" w:type="dxa"/>
        </w:tblCellMar>
      </w:tblPr>
      <w:tblGrid>
        <w:gridCol w:w="937"/>
        <w:gridCol w:w="2780"/>
        <w:gridCol w:w="1777"/>
        <w:gridCol w:w="2062"/>
        <w:gridCol w:w="1597"/>
        <w:gridCol w:w="1814"/>
      </w:tblGrid>
      <w:tr w14:paraId="10F9D953">
        <w:tblPrEx>
          <w:tblCellMar>
            <w:top w:w="0" w:type="dxa"/>
            <w:left w:w="0" w:type="dxa"/>
            <w:bottom w:w="0" w:type="dxa"/>
            <w:right w:w="0" w:type="dxa"/>
          </w:tblCellMar>
        </w:tblPrEx>
        <w:tc>
          <w:tcPr>
            <w:tcW w:w="101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2529B850">
            <w:pPr>
              <w:spacing w:before="203"/>
              <w:rPr>
                <w:color w:val="000000"/>
                <w:sz w:val="27"/>
                <w:szCs w:val="27"/>
              </w:rPr>
            </w:pPr>
            <w:r>
              <w:rPr>
                <w:b/>
                <w:bCs/>
                <w:color w:val="000000"/>
                <w:sz w:val="27"/>
                <w:szCs w:val="27"/>
              </w:rPr>
              <w:t>ITEM</w:t>
            </w:r>
          </w:p>
        </w:tc>
        <w:tc>
          <w:tcPr>
            <w:tcW w:w="2780" w:type="dxa"/>
            <w:tcBorders>
              <w:top w:val="single" w:color="auto" w:sz="8" w:space="0"/>
              <w:left w:val="nil"/>
              <w:bottom w:val="single" w:color="auto" w:sz="8" w:space="0"/>
              <w:right w:val="single" w:color="auto" w:sz="8" w:space="0"/>
            </w:tcBorders>
            <w:tcMar>
              <w:top w:w="0" w:type="dxa"/>
              <w:left w:w="108" w:type="dxa"/>
              <w:bottom w:w="0" w:type="dxa"/>
              <w:right w:w="108" w:type="dxa"/>
            </w:tcMar>
          </w:tcPr>
          <w:p w14:paraId="4C90AC21">
            <w:pPr>
              <w:spacing w:before="203"/>
              <w:rPr>
                <w:color w:val="000000"/>
                <w:sz w:val="27"/>
                <w:szCs w:val="27"/>
              </w:rPr>
            </w:pPr>
            <w:r>
              <w:rPr>
                <w:b/>
                <w:bCs/>
                <w:color w:val="000000"/>
                <w:sz w:val="27"/>
                <w:szCs w:val="27"/>
              </w:rPr>
              <w:t>ESPECIFICAÇÃO</w:t>
            </w:r>
          </w:p>
        </w:tc>
        <w:tc>
          <w:tcPr>
            <w:tcW w:w="1777" w:type="dxa"/>
            <w:tcBorders>
              <w:top w:val="single" w:color="auto" w:sz="8" w:space="0"/>
              <w:left w:val="nil"/>
              <w:bottom w:val="single" w:color="auto" w:sz="8" w:space="0"/>
              <w:right w:val="single" w:color="auto" w:sz="8" w:space="0"/>
            </w:tcBorders>
            <w:tcMar>
              <w:top w:w="0" w:type="dxa"/>
              <w:left w:w="108" w:type="dxa"/>
              <w:bottom w:w="0" w:type="dxa"/>
              <w:right w:w="108" w:type="dxa"/>
            </w:tcMar>
          </w:tcPr>
          <w:p w14:paraId="65284A5F">
            <w:pPr>
              <w:spacing w:before="203"/>
              <w:jc w:val="center"/>
              <w:rPr>
                <w:color w:val="000000"/>
                <w:sz w:val="27"/>
                <w:szCs w:val="27"/>
              </w:rPr>
            </w:pPr>
            <w:r>
              <w:rPr>
                <w:b/>
                <w:bCs/>
                <w:color w:val="000000"/>
                <w:sz w:val="27"/>
                <w:szCs w:val="27"/>
              </w:rPr>
              <w:t>UNIDADE DE AQUISIÇÃO</w:t>
            </w:r>
          </w:p>
        </w:tc>
        <w:tc>
          <w:tcPr>
            <w:tcW w:w="2062" w:type="dxa"/>
            <w:tcBorders>
              <w:top w:val="single" w:color="auto" w:sz="8" w:space="0"/>
              <w:left w:val="nil"/>
              <w:bottom w:val="single" w:color="auto" w:sz="8" w:space="0"/>
              <w:right w:val="single" w:color="auto" w:sz="8" w:space="0"/>
            </w:tcBorders>
            <w:tcMar>
              <w:top w:w="0" w:type="dxa"/>
              <w:left w:w="108" w:type="dxa"/>
              <w:bottom w:w="0" w:type="dxa"/>
              <w:right w:w="108" w:type="dxa"/>
            </w:tcMar>
          </w:tcPr>
          <w:p w14:paraId="55BA1D4A">
            <w:pPr>
              <w:spacing w:before="203"/>
              <w:rPr>
                <w:color w:val="000000"/>
                <w:sz w:val="27"/>
                <w:szCs w:val="27"/>
              </w:rPr>
            </w:pPr>
            <w:r>
              <w:rPr>
                <w:b/>
                <w:bCs/>
                <w:color w:val="000000"/>
                <w:sz w:val="27"/>
                <w:szCs w:val="27"/>
              </w:rPr>
              <w:t>QUANTIDADE</w:t>
            </w:r>
          </w:p>
        </w:tc>
        <w:tc>
          <w:tcPr>
            <w:tcW w:w="1597" w:type="dxa"/>
            <w:tcBorders>
              <w:top w:val="single" w:color="auto" w:sz="8" w:space="0"/>
              <w:left w:val="nil"/>
              <w:bottom w:val="single" w:color="auto" w:sz="8" w:space="0"/>
              <w:right w:val="single" w:color="auto" w:sz="8" w:space="0"/>
            </w:tcBorders>
            <w:tcMar>
              <w:top w:w="0" w:type="dxa"/>
              <w:left w:w="108" w:type="dxa"/>
              <w:bottom w:w="0" w:type="dxa"/>
              <w:right w:w="108" w:type="dxa"/>
            </w:tcMar>
          </w:tcPr>
          <w:p w14:paraId="6002869C">
            <w:pPr>
              <w:spacing w:before="203"/>
              <w:rPr>
                <w:color w:val="000000"/>
                <w:sz w:val="27"/>
                <w:szCs w:val="27"/>
              </w:rPr>
            </w:pPr>
            <w:r>
              <w:rPr>
                <w:b/>
                <w:bCs/>
                <w:color w:val="000000"/>
                <w:sz w:val="27"/>
                <w:szCs w:val="27"/>
              </w:rPr>
              <w:t>VALOR UNITÁRIO</w:t>
            </w:r>
          </w:p>
        </w:tc>
        <w:tc>
          <w:tcPr>
            <w:tcW w:w="1477" w:type="dxa"/>
            <w:tcBorders>
              <w:top w:val="single" w:color="auto" w:sz="8" w:space="0"/>
              <w:left w:val="nil"/>
              <w:bottom w:val="single" w:color="auto" w:sz="8" w:space="0"/>
              <w:right w:val="single" w:color="auto" w:sz="8" w:space="0"/>
            </w:tcBorders>
            <w:tcMar>
              <w:top w:w="0" w:type="dxa"/>
              <w:left w:w="108" w:type="dxa"/>
              <w:bottom w:w="0" w:type="dxa"/>
              <w:right w:w="108" w:type="dxa"/>
            </w:tcMar>
          </w:tcPr>
          <w:p w14:paraId="5BF2E9A2">
            <w:pPr>
              <w:spacing w:before="203"/>
              <w:rPr>
                <w:color w:val="000000"/>
                <w:sz w:val="27"/>
                <w:szCs w:val="27"/>
              </w:rPr>
            </w:pPr>
            <w:r>
              <w:rPr>
                <w:b/>
                <w:bCs/>
                <w:color w:val="000000"/>
                <w:sz w:val="27"/>
                <w:szCs w:val="27"/>
              </w:rPr>
              <w:t>VALOR TOTAL</w:t>
            </w:r>
          </w:p>
        </w:tc>
      </w:tr>
      <w:tr w14:paraId="6D589234">
        <w:tblPrEx>
          <w:tblCellMar>
            <w:top w:w="0" w:type="dxa"/>
            <w:left w:w="0" w:type="dxa"/>
            <w:bottom w:w="0" w:type="dxa"/>
            <w:right w:w="0" w:type="dxa"/>
          </w:tblCellMar>
        </w:tblPrEx>
        <w:tc>
          <w:tcPr>
            <w:tcW w:w="1018" w:type="dxa"/>
            <w:tcBorders>
              <w:top w:val="nil"/>
              <w:left w:val="single" w:color="auto" w:sz="8" w:space="0"/>
              <w:bottom w:val="single" w:color="auto" w:sz="8" w:space="0"/>
              <w:right w:val="single" w:color="auto" w:sz="8" w:space="0"/>
            </w:tcBorders>
            <w:tcMar>
              <w:top w:w="0" w:type="dxa"/>
              <w:left w:w="108" w:type="dxa"/>
              <w:bottom w:w="0" w:type="dxa"/>
              <w:right w:w="108" w:type="dxa"/>
            </w:tcMar>
          </w:tcPr>
          <w:p w14:paraId="5C130716">
            <w:pPr>
              <w:spacing w:before="203"/>
              <w:jc w:val="center"/>
              <w:rPr>
                <w:color w:val="000000"/>
                <w:sz w:val="27"/>
                <w:szCs w:val="27"/>
              </w:rPr>
            </w:pPr>
            <w:r>
              <w:rPr>
                <w:color w:val="000000"/>
                <w:sz w:val="27"/>
                <w:szCs w:val="27"/>
              </w:rPr>
              <w:t>1</w:t>
            </w:r>
          </w:p>
        </w:tc>
        <w:tc>
          <w:tcPr>
            <w:tcW w:w="2780" w:type="dxa"/>
            <w:tcBorders>
              <w:top w:val="nil"/>
              <w:left w:val="nil"/>
              <w:bottom w:val="single" w:color="auto" w:sz="8" w:space="0"/>
              <w:right w:val="single" w:color="auto" w:sz="8" w:space="0"/>
            </w:tcBorders>
            <w:tcMar>
              <w:top w:w="0" w:type="dxa"/>
              <w:left w:w="108" w:type="dxa"/>
              <w:bottom w:w="0" w:type="dxa"/>
              <w:right w:w="108" w:type="dxa"/>
            </w:tcMar>
          </w:tcPr>
          <w:p w14:paraId="6103D133">
            <w:pPr>
              <w:spacing w:before="1" w:line="257" w:lineRule="atLeast"/>
              <w:ind w:left="38" w:right="801"/>
              <w:rPr>
                <w:color w:val="000000"/>
                <w:sz w:val="27"/>
                <w:szCs w:val="27"/>
              </w:rPr>
            </w:pPr>
            <w:r>
              <w:rPr>
                <w:b/>
                <w:bCs/>
                <w:color w:val="000000"/>
                <w:sz w:val="27"/>
                <w:szCs w:val="27"/>
              </w:rPr>
              <w:t>URNA MORTUÁRIA – MADEIRA – SEM VISOR.</w:t>
            </w:r>
          </w:p>
          <w:p w14:paraId="6A7D752E">
            <w:pPr>
              <w:spacing w:before="1" w:line="257" w:lineRule="atLeast"/>
              <w:ind w:left="38" w:right="14"/>
              <w:rPr>
                <w:color w:val="000000"/>
                <w:sz w:val="27"/>
                <w:szCs w:val="27"/>
              </w:rPr>
            </w:pPr>
            <w:r>
              <w:rPr>
                <w:color w:val="000000"/>
                <w:sz w:val="27"/>
                <w:szCs w:val="27"/>
              </w:rPr>
              <w:t>Modelo: SEXTAVADO – Caixa: confeccionada em madeira de pinus, fundo misto em madeira e chapa dura de alta resistência colado e grampeado, bordada em relevo nas laterais. Tampa: confeccionada em madeira de pinus bordadas nas laterais, com encaixes e guias, com 4 chavetas para seu fechamento.</w:t>
            </w:r>
          </w:p>
          <w:p w14:paraId="6A0555E0">
            <w:pPr>
              <w:spacing w:before="2" w:line="257" w:lineRule="atLeast"/>
              <w:ind w:left="38" w:right="14"/>
              <w:rPr>
                <w:color w:val="000000"/>
                <w:sz w:val="27"/>
                <w:szCs w:val="27"/>
              </w:rPr>
            </w:pPr>
            <w:r>
              <w:rPr>
                <w:color w:val="000000"/>
                <w:sz w:val="27"/>
                <w:szCs w:val="27"/>
              </w:rPr>
              <w:t>Tampo: confeccionado em chapa dura (fibra de eucalipto)</w:t>
            </w:r>
          </w:p>
          <w:p w14:paraId="69BC6F5A">
            <w:pPr>
              <w:spacing w:before="1" w:line="257" w:lineRule="atLeast"/>
              <w:ind w:left="38" w:right="14"/>
              <w:rPr>
                <w:color w:val="000000"/>
                <w:sz w:val="27"/>
                <w:szCs w:val="27"/>
              </w:rPr>
            </w:pPr>
            <w:r>
              <w:rPr>
                <w:color w:val="000000"/>
                <w:sz w:val="27"/>
                <w:szCs w:val="27"/>
              </w:rPr>
              <w:t>decorado artisticamente em silkscreen dourado, SEM VISOR. Alças: seis alça fixas pigmentada forrada internamente em papel branco. Travesseiro solto, acabamento externo na cor cerejeira, mogno ou marfim - Medidas interna aproximadas: 193 x 0,58 x</w:t>
            </w:r>
          </w:p>
          <w:p w14:paraId="7D08CEFF">
            <w:pPr>
              <w:spacing w:before="203"/>
              <w:rPr>
                <w:color w:val="000000"/>
                <w:sz w:val="27"/>
                <w:szCs w:val="27"/>
              </w:rPr>
            </w:pPr>
            <w:r>
              <w:rPr>
                <w:color w:val="000000"/>
                <w:sz w:val="27"/>
                <w:szCs w:val="27"/>
              </w:rPr>
              <w:t>0,34</w:t>
            </w:r>
          </w:p>
        </w:tc>
        <w:tc>
          <w:tcPr>
            <w:tcW w:w="1777" w:type="dxa"/>
            <w:tcBorders>
              <w:top w:val="nil"/>
              <w:left w:val="nil"/>
              <w:bottom w:val="single" w:color="auto" w:sz="8" w:space="0"/>
              <w:right w:val="single" w:color="auto" w:sz="8" w:space="0"/>
            </w:tcBorders>
            <w:tcMar>
              <w:top w:w="0" w:type="dxa"/>
              <w:left w:w="108" w:type="dxa"/>
              <w:bottom w:w="0" w:type="dxa"/>
              <w:right w:w="108" w:type="dxa"/>
            </w:tcMar>
          </w:tcPr>
          <w:p w14:paraId="55F9FDC7">
            <w:pPr>
              <w:spacing w:before="203"/>
              <w:rPr>
                <w:color w:val="000000"/>
                <w:sz w:val="27"/>
                <w:szCs w:val="27"/>
              </w:rPr>
            </w:pPr>
            <w:r>
              <w:rPr>
                <w:color w:val="000000"/>
                <w:sz w:val="27"/>
                <w:szCs w:val="27"/>
              </w:rPr>
              <w:t>Unidade</w:t>
            </w:r>
          </w:p>
        </w:tc>
        <w:tc>
          <w:tcPr>
            <w:tcW w:w="2062" w:type="dxa"/>
            <w:tcBorders>
              <w:top w:val="nil"/>
              <w:left w:val="nil"/>
              <w:bottom w:val="single" w:color="auto" w:sz="8" w:space="0"/>
              <w:right w:val="single" w:color="auto" w:sz="8" w:space="0"/>
            </w:tcBorders>
            <w:tcMar>
              <w:top w:w="0" w:type="dxa"/>
              <w:left w:w="108" w:type="dxa"/>
              <w:bottom w:w="0" w:type="dxa"/>
              <w:right w:w="108" w:type="dxa"/>
            </w:tcMar>
          </w:tcPr>
          <w:p w14:paraId="72899FEB">
            <w:pPr>
              <w:spacing w:before="203"/>
              <w:jc w:val="center"/>
              <w:rPr>
                <w:color w:val="000000"/>
                <w:sz w:val="27"/>
                <w:szCs w:val="27"/>
              </w:rPr>
            </w:pPr>
            <w:r>
              <w:rPr>
                <w:color w:val="000000"/>
                <w:sz w:val="27"/>
                <w:szCs w:val="27"/>
              </w:rPr>
              <w:t>180</w:t>
            </w:r>
          </w:p>
        </w:tc>
        <w:tc>
          <w:tcPr>
            <w:tcW w:w="1597" w:type="dxa"/>
            <w:tcBorders>
              <w:top w:val="nil"/>
              <w:left w:val="nil"/>
              <w:bottom w:val="single" w:color="auto" w:sz="8" w:space="0"/>
              <w:right w:val="single" w:color="auto" w:sz="8" w:space="0"/>
            </w:tcBorders>
            <w:tcMar>
              <w:top w:w="0" w:type="dxa"/>
              <w:left w:w="108" w:type="dxa"/>
              <w:bottom w:w="0" w:type="dxa"/>
              <w:right w:w="108" w:type="dxa"/>
            </w:tcMar>
          </w:tcPr>
          <w:p w14:paraId="24C8F867">
            <w:pPr>
              <w:spacing w:before="203"/>
              <w:rPr>
                <w:color w:val="000000"/>
                <w:sz w:val="27"/>
                <w:szCs w:val="27"/>
              </w:rPr>
            </w:pPr>
            <w:r>
              <w:rPr>
                <w:color w:val="000000"/>
                <w:sz w:val="27"/>
                <w:szCs w:val="27"/>
              </w:rPr>
              <w:t>R$ 450,00</w:t>
            </w:r>
          </w:p>
        </w:tc>
        <w:tc>
          <w:tcPr>
            <w:tcW w:w="1477" w:type="dxa"/>
            <w:tcBorders>
              <w:top w:val="nil"/>
              <w:left w:val="nil"/>
              <w:bottom w:val="single" w:color="auto" w:sz="8" w:space="0"/>
              <w:right w:val="single" w:color="auto" w:sz="8" w:space="0"/>
            </w:tcBorders>
            <w:tcMar>
              <w:top w:w="0" w:type="dxa"/>
              <w:left w:w="108" w:type="dxa"/>
              <w:bottom w:w="0" w:type="dxa"/>
              <w:right w:w="108" w:type="dxa"/>
            </w:tcMar>
          </w:tcPr>
          <w:p w14:paraId="4CEE4EF9">
            <w:pPr>
              <w:spacing w:before="203"/>
              <w:rPr>
                <w:color w:val="000000"/>
                <w:sz w:val="27"/>
                <w:szCs w:val="27"/>
              </w:rPr>
            </w:pPr>
            <w:r>
              <w:rPr>
                <w:color w:val="000000"/>
                <w:sz w:val="27"/>
                <w:szCs w:val="27"/>
              </w:rPr>
              <w:t>R$ 81.000,00</w:t>
            </w:r>
          </w:p>
        </w:tc>
      </w:tr>
      <w:tr w14:paraId="722EADB8">
        <w:tblPrEx>
          <w:tblCellMar>
            <w:top w:w="0" w:type="dxa"/>
            <w:left w:w="0" w:type="dxa"/>
            <w:bottom w:w="0" w:type="dxa"/>
            <w:right w:w="0" w:type="dxa"/>
          </w:tblCellMar>
        </w:tblPrEx>
        <w:tc>
          <w:tcPr>
            <w:tcW w:w="1018" w:type="dxa"/>
            <w:tcBorders>
              <w:top w:val="nil"/>
              <w:left w:val="single" w:color="auto" w:sz="8" w:space="0"/>
              <w:bottom w:val="single" w:color="auto" w:sz="8" w:space="0"/>
              <w:right w:val="single" w:color="auto" w:sz="8" w:space="0"/>
            </w:tcBorders>
            <w:tcMar>
              <w:top w:w="0" w:type="dxa"/>
              <w:left w:w="108" w:type="dxa"/>
              <w:bottom w:w="0" w:type="dxa"/>
              <w:right w:w="108" w:type="dxa"/>
            </w:tcMar>
          </w:tcPr>
          <w:p w14:paraId="79EDB65E">
            <w:pPr>
              <w:spacing w:before="203"/>
              <w:jc w:val="center"/>
              <w:rPr>
                <w:color w:val="000000"/>
                <w:sz w:val="27"/>
                <w:szCs w:val="27"/>
              </w:rPr>
            </w:pPr>
            <w:r>
              <w:rPr>
                <w:color w:val="000000"/>
                <w:sz w:val="27"/>
                <w:szCs w:val="27"/>
              </w:rPr>
              <w:t>2</w:t>
            </w:r>
          </w:p>
        </w:tc>
        <w:tc>
          <w:tcPr>
            <w:tcW w:w="2780" w:type="dxa"/>
            <w:tcBorders>
              <w:top w:val="nil"/>
              <w:left w:val="nil"/>
              <w:bottom w:val="single" w:color="auto" w:sz="8" w:space="0"/>
              <w:right w:val="single" w:color="auto" w:sz="8" w:space="0"/>
            </w:tcBorders>
            <w:tcMar>
              <w:top w:w="0" w:type="dxa"/>
              <w:left w:w="108" w:type="dxa"/>
              <w:bottom w:w="0" w:type="dxa"/>
              <w:right w:w="108" w:type="dxa"/>
            </w:tcMar>
          </w:tcPr>
          <w:p w14:paraId="2F7A407E">
            <w:pPr>
              <w:spacing w:before="1"/>
              <w:ind w:left="38"/>
              <w:rPr>
                <w:color w:val="000000"/>
                <w:sz w:val="27"/>
                <w:szCs w:val="27"/>
              </w:rPr>
            </w:pPr>
            <w:r>
              <w:rPr>
                <w:b/>
                <w:bCs/>
                <w:color w:val="000000"/>
                <w:sz w:val="27"/>
                <w:szCs w:val="27"/>
              </w:rPr>
              <w:t>URNA MORTUÁRIA COMPRIDA 2,10 M– MADEIRA</w:t>
            </w:r>
          </w:p>
          <w:p w14:paraId="0008DD7F">
            <w:pPr>
              <w:spacing w:before="22" w:line="257" w:lineRule="atLeast"/>
              <w:ind w:left="38" w:right="14"/>
              <w:rPr>
                <w:color w:val="000000"/>
                <w:sz w:val="27"/>
                <w:szCs w:val="27"/>
              </w:rPr>
            </w:pPr>
            <w:r>
              <w:rPr>
                <w:color w:val="000000"/>
                <w:sz w:val="27"/>
                <w:szCs w:val="27"/>
              </w:rPr>
              <w:t>Modelo: SEXTAVADO – Caixa: confeccionada em madeira de pinus, fundo misto em madeira e chapa dura de alta resistência colado e grampeado, bordada em relevo nas laterais. Tampa: confeccionada em madeira de pinus bordadas nas laterais, com encaixes e guias, com 4 chavetas para seu fechamento.</w:t>
            </w:r>
          </w:p>
          <w:p w14:paraId="6F25FBB2">
            <w:pPr>
              <w:spacing w:before="3" w:line="257" w:lineRule="atLeast"/>
              <w:ind w:left="38" w:right="14"/>
              <w:rPr>
                <w:color w:val="000000"/>
                <w:sz w:val="27"/>
                <w:szCs w:val="27"/>
              </w:rPr>
            </w:pPr>
            <w:r>
              <w:rPr>
                <w:color w:val="000000"/>
                <w:sz w:val="27"/>
                <w:szCs w:val="27"/>
              </w:rPr>
              <w:t>Tampo: confeccionado em chapa dura (fibra de eucalipto)</w:t>
            </w:r>
          </w:p>
          <w:p w14:paraId="1F35BC1A">
            <w:pPr>
              <w:spacing w:before="203"/>
              <w:rPr>
                <w:color w:val="000000"/>
                <w:sz w:val="27"/>
                <w:szCs w:val="27"/>
              </w:rPr>
            </w:pPr>
            <w:r>
              <w:rPr>
                <w:color w:val="000000"/>
                <w:sz w:val="27"/>
                <w:szCs w:val="27"/>
              </w:rPr>
              <w:t>decorado artisticamente em silkscreen dourado, SEM VISOR. Alças: seis alça fixas pigmentada forrada internamente em papel branco. Travesseiro solto, acabamento externo na cor cerejeira, mogno ou marfim , com verniz - Medidas interna aproximadas: 2,07 x 0,55 x 0,32</w:t>
            </w:r>
          </w:p>
        </w:tc>
        <w:tc>
          <w:tcPr>
            <w:tcW w:w="1777" w:type="dxa"/>
            <w:tcBorders>
              <w:top w:val="nil"/>
              <w:left w:val="nil"/>
              <w:bottom w:val="single" w:color="auto" w:sz="8" w:space="0"/>
              <w:right w:val="single" w:color="auto" w:sz="8" w:space="0"/>
            </w:tcBorders>
            <w:tcMar>
              <w:top w:w="0" w:type="dxa"/>
              <w:left w:w="108" w:type="dxa"/>
              <w:bottom w:w="0" w:type="dxa"/>
              <w:right w:w="108" w:type="dxa"/>
            </w:tcMar>
          </w:tcPr>
          <w:p w14:paraId="6B7DE9DD">
            <w:pPr>
              <w:spacing w:before="203"/>
              <w:rPr>
                <w:color w:val="000000"/>
                <w:sz w:val="27"/>
                <w:szCs w:val="27"/>
              </w:rPr>
            </w:pPr>
            <w:r>
              <w:rPr>
                <w:color w:val="000000"/>
                <w:sz w:val="27"/>
                <w:szCs w:val="27"/>
              </w:rPr>
              <w:t>Unidade</w:t>
            </w:r>
          </w:p>
        </w:tc>
        <w:tc>
          <w:tcPr>
            <w:tcW w:w="2062" w:type="dxa"/>
            <w:tcBorders>
              <w:top w:val="nil"/>
              <w:left w:val="nil"/>
              <w:bottom w:val="single" w:color="auto" w:sz="8" w:space="0"/>
              <w:right w:val="single" w:color="auto" w:sz="8" w:space="0"/>
            </w:tcBorders>
            <w:tcMar>
              <w:top w:w="0" w:type="dxa"/>
              <w:left w:w="108" w:type="dxa"/>
              <w:bottom w:w="0" w:type="dxa"/>
              <w:right w:w="108" w:type="dxa"/>
            </w:tcMar>
          </w:tcPr>
          <w:p w14:paraId="5881BADF">
            <w:pPr>
              <w:spacing w:before="203"/>
              <w:jc w:val="center"/>
              <w:rPr>
                <w:color w:val="000000"/>
                <w:sz w:val="27"/>
                <w:szCs w:val="27"/>
              </w:rPr>
            </w:pPr>
            <w:r>
              <w:rPr>
                <w:color w:val="000000"/>
                <w:sz w:val="27"/>
                <w:szCs w:val="27"/>
              </w:rPr>
              <w:t>12</w:t>
            </w:r>
          </w:p>
        </w:tc>
        <w:tc>
          <w:tcPr>
            <w:tcW w:w="1597" w:type="dxa"/>
            <w:tcBorders>
              <w:top w:val="nil"/>
              <w:left w:val="nil"/>
              <w:bottom w:val="single" w:color="auto" w:sz="8" w:space="0"/>
              <w:right w:val="single" w:color="auto" w:sz="8" w:space="0"/>
            </w:tcBorders>
            <w:tcMar>
              <w:top w:w="0" w:type="dxa"/>
              <w:left w:w="108" w:type="dxa"/>
              <w:bottom w:w="0" w:type="dxa"/>
              <w:right w:w="108" w:type="dxa"/>
            </w:tcMar>
          </w:tcPr>
          <w:p w14:paraId="03EAD2F5">
            <w:pPr>
              <w:spacing w:before="203"/>
              <w:rPr>
                <w:color w:val="000000"/>
                <w:sz w:val="27"/>
                <w:szCs w:val="27"/>
              </w:rPr>
            </w:pPr>
            <w:r>
              <w:rPr>
                <w:color w:val="000000"/>
                <w:sz w:val="27"/>
                <w:szCs w:val="27"/>
              </w:rPr>
              <w:t>R$ 990,00</w:t>
            </w:r>
          </w:p>
        </w:tc>
        <w:tc>
          <w:tcPr>
            <w:tcW w:w="1477" w:type="dxa"/>
            <w:tcBorders>
              <w:top w:val="nil"/>
              <w:left w:val="nil"/>
              <w:bottom w:val="single" w:color="auto" w:sz="8" w:space="0"/>
              <w:right w:val="single" w:color="auto" w:sz="8" w:space="0"/>
            </w:tcBorders>
            <w:tcMar>
              <w:top w:w="0" w:type="dxa"/>
              <w:left w:w="108" w:type="dxa"/>
              <w:bottom w:w="0" w:type="dxa"/>
              <w:right w:w="108" w:type="dxa"/>
            </w:tcMar>
          </w:tcPr>
          <w:p w14:paraId="62ABC197">
            <w:pPr>
              <w:spacing w:before="203"/>
              <w:rPr>
                <w:color w:val="000000"/>
                <w:sz w:val="27"/>
                <w:szCs w:val="27"/>
              </w:rPr>
            </w:pPr>
            <w:r>
              <w:rPr>
                <w:color w:val="000000"/>
                <w:sz w:val="27"/>
                <w:szCs w:val="27"/>
              </w:rPr>
              <w:t>R$ 11.800,00</w:t>
            </w:r>
          </w:p>
        </w:tc>
      </w:tr>
      <w:tr w14:paraId="1836B95B">
        <w:tblPrEx>
          <w:tblCellMar>
            <w:top w:w="0" w:type="dxa"/>
            <w:left w:w="0" w:type="dxa"/>
            <w:bottom w:w="0" w:type="dxa"/>
            <w:right w:w="0" w:type="dxa"/>
          </w:tblCellMar>
        </w:tblPrEx>
        <w:tc>
          <w:tcPr>
            <w:tcW w:w="1018" w:type="dxa"/>
            <w:tcBorders>
              <w:top w:val="nil"/>
              <w:left w:val="single" w:color="auto" w:sz="8" w:space="0"/>
              <w:bottom w:val="single" w:color="auto" w:sz="8" w:space="0"/>
              <w:right w:val="single" w:color="auto" w:sz="8" w:space="0"/>
            </w:tcBorders>
            <w:tcMar>
              <w:top w:w="0" w:type="dxa"/>
              <w:left w:w="108" w:type="dxa"/>
              <w:bottom w:w="0" w:type="dxa"/>
              <w:right w:w="108" w:type="dxa"/>
            </w:tcMar>
          </w:tcPr>
          <w:p w14:paraId="03CB7351">
            <w:pPr>
              <w:spacing w:before="203"/>
              <w:jc w:val="center"/>
              <w:rPr>
                <w:color w:val="000000"/>
                <w:sz w:val="27"/>
                <w:szCs w:val="27"/>
              </w:rPr>
            </w:pPr>
            <w:r>
              <w:rPr>
                <w:color w:val="000000"/>
                <w:sz w:val="27"/>
                <w:szCs w:val="27"/>
              </w:rPr>
              <w:t>3</w:t>
            </w:r>
          </w:p>
        </w:tc>
        <w:tc>
          <w:tcPr>
            <w:tcW w:w="2780" w:type="dxa"/>
            <w:tcBorders>
              <w:top w:val="nil"/>
              <w:left w:val="nil"/>
              <w:bottom w:val="single" w:color="auto" w:sz="8" w:space="0"/>
              <w:right w:val="single" w:color="auto" w:sz="8" w:space="0"/>
            </w:tcBorders>
            <w:tcMar>
              <w:top w:w="0" w:type="dxa"/>
              <w:left w:w="108" w:type="dxa"/>
              <w:bottom w:w="0" w:type="dxa"/>
              <w:right w:w="108" w:type="dxa"/>
            </w:tcMar>
          </w:tcPr>
          <w:p w14:paraId="2F13AD7D">
            <w:pPr>
              <w:spacing w:before="1"/>
              <w:ind w:left="38"/>
              <w:rPr>
                <w:color w:val="000000"/>
                <w:sz w:val="27"/>
                <w:szCs w:val="27"/>
              </w:rPr>
            </w:pPr>
            <w:r>
              <w:rPr>
                <w:b/>
                <w:bCs/>
                <w:color w:val="000000"/>
                <w:sz w:val="27"/>
                <w:szCs w:val="27"/>
              </w:rPr>
              <w:t>URNA MORTUÁRIA GORDA – MADEIRA</w:t>
            </w:r>
          </w:p>
          <w:p w14:paraId="20F35DB1">
            <w:pPr>
              <w:spacing w:before="22" w:line="257" w:lineRule="atLeast"/>
              <w:ind w:left="38" w:right="14"/>
              <w:rPr>
                <w:color w:val="000000"/>
                <w:sz w:val="27"/>
                <w:szCs w:val="27"/>
              </w:rPr>
            </w:pPr>
            <w:r>
              <w:rPr>
                <w:color w:val="000000"/>
                <w:sz w:val="27"/>
                <w:szCs w:val="27"/>
              </w:rPr>
              <w:t>Modelo: SEXTAVADO – Caixa: confeccionada em madeira de pinus, fundo misto em madeira e chapa dura de alta resistência colado e grampeado, bordada em relevo nas laterais. Tampa: confeccionada em madeira de pinus bordadas nas laterais, com encaixes e guias, com 4 chavetas para seu fechamento.</w:t>
            </w:r>
          </w:p>
          <w:p w14:paraId="335E1B81">
            <w:pPr>
              <w:spacing w:before="3" w:line="257" w:lineRule="atLeast"/>
              <w:ind w:left="38" w:right="14"/>
              <w:rPr>
                <w:color w:val="000000"/>
                <w:sz w:val="27"/>
                <w:szCs w:val="27"/>
              </w:rPr>
            </w:pPr>
            <w:r>
              <w:rPr>
                <w:color w:val="000000"/>
                <w:sz w:val="27"/>
                <w:szCs w:val="27"/>
              </w:rPr>
              <w:t>Tampo: confeccionado em chapa dura (fibra de eucalipto)</w:t>
            </w:r>
          </w:p>
          <w:p w14:paraId="3C51F34A">
            <w:pPr>
              <w:spacing w:line="257" w:lineRule="atLeast"/>
              <w:ind w:left="38" w:right="47"/>
              <w:rPr>
                <w:color w:val="000000"/>
                <w:sz w:val="27"/>
                <w:szCs w:val="27"/>
              </w:rPr>
            </w:pPr>
            <w:r>
              <w:rPr>
                <w:color w:val="000000"/>
                <w:sz w:val="27"/>
                <w:szCs w:val="27"/>
              </w:rPr>
              <w:t>decorado artisticamente em silkscreen dourado, SEM VISOR. Alças fixas pigmentada forrada internamente em papel branco. Travesseiro solto, acabamento externo na cor cerejeira, mogno ou marfim , com verniz - Medidas interna aproximadas: 1,95 X 0,65 X</w:t>
            </w:r>
          </w:p>
          <w:p w14:paraId="2EEF260A">
            <w:pPr>
              <w:spacing w:before="203"/>
              <w:rPr>
                <w:color w:val="000000"/>
                <w:sz w:val="27"/>
                <w:szCs w:val="27"/>
              </w:rPr>
            </w:pPr>
            <w:r>
              <w:rPr>
                <w:color w:val="000000"/>
                <w:sz w:val="27"/>
                <w:szCs w:val="27"/>
              </w:rPr>
              <w:t>0,32</w:t>
            </w:r>
          </w:p>
        </w:tc>
        <w:tc>
          <w:tcPr>
            <w:tcW w:w="1777" w:type="dxa"/>
            <w:tcBorders>
              <w:top w:val="nil"/>
              <w:left w:val="nil"/>
              <w:bottom w:val="single" w:color="auto" w:sz="8" w:space="0"/>
              <w:right w:val="single" w:color="auto" w:sz="8" w:space="0"/>
            </w:tcBorders>
            <w:tcMar>
              <w:top w:w="0" w:type="dxa"/>
              <w:left w:w="108" w:type="dxa"/>
              <w:bottom w:w="0" w:type="dxa"/>
              <w:right w:w="108" w:type="dxa"/>
            </w:tcMar>
          </w:tcPr>
          <w:p w14:paraId="27932467">
            <w:pPr>
              <w:spacing w:before="203"/>
              <w:rPr>
                <w:color w:val="000000"/>
                <w:sz w:val="27"/>
                <w:szCs w:val="27"/>
              </w:rPr>
            </w:pPr>
            <w:r>
              <w:rPr>
                <w:color w:val="000000"/>
                <w:sz w:val="27"/>
                <w:szCs w:val="27"/>
              </w:rPr>
              <w:t>Unidade</w:t>
            </w:r>
          </w:p>
        </w:tc>
        <w:tc>
          <w:tcPr>
            <w:tcW w:w="2062" w:type="dxa"/>
            <w:tcBorders>
              <w:top w:val="nil"/>
              <w:left w:val="nil"/>
              <w:bottom w:val="single" w:color="auto" w:sz="8" w:space="0"/>
              <w:right w:val="single" w:color="auto" w:sz="8" w:space="0"/>
            </w:tcBorders>
            <w:tcMar>
              <w:top w:w="0" w:type="dxa"/>
              <w:left w:w="108" w:type="dxa"/>
              <w:bottom w:w="0" w:type="dxa"/>
              <w:right w:w="108" w:type="dxa"/>
            </w:tcMar>
          </w:tcPr>
          <w:p w14:paraId="52E843EE">
            <w:pPr>
              <w:spacing w:before="203"/>
              <w:jc w:val="center"/>
              <w:rPr>
                <w:color w:val="000000"/>
                <w:sz w:val="27"/>
                <w:szCs w:val="27"/>
              </w:rPr>
            </w:pPr>
            <w:r>
              <w:rPr>
                <w:color w:val="000000"/>
                <w:sz w:val="27"/>
                <w:szCs w:val="27"/>
              </w:rPr>
              <w:t>12</w:t>
            </w:r>
          </w:p>
        </w:tc>
        <w:tc>
          <w:tcPr>
            <w:tcW w:w="1597" w:type="dxa"/>
            <w:tcBorders>
              <w:top w:val="nil"/>
              <w:left w:val="nil"/>
              <w:bottom w:val="single" w:color="auto" w:sz="8" w:space="0"/>
              <w:right w:val="single" w:color="auto" w:sz="8" w:space="0"/>
            </w:tcBorders>
            <w:tcMar>
              <w:top w:w="0" w:type="dxa"/>
              <w:left w:w="108" w:type="dxa"/>
              <w:bottom w:w="0" w:type="dxa"/>
              <w:right w:w="108" w:type="dxa"/>
            </w:tcMar>
          </w:tcPr>
          <w:p w14:paraId="3382EA5D">
            <w:pPr>
              <w:spacing w:before="203"/>
              <w:rPr>
                <w:color w:val="000000"/>
                <w:sz w:val="27"/>
                <w:szCs w:val="27"/>
              </w:rPr>
            </w:pPr>
            <w:r>
              <w:rPr>
                <w:color w:val="000000"/>
                <w:sz w:val="27"/>
                <w:szCs w:val="27"/>
              </w:rPr>
              <w:t>R$ 945,00</w:t>
            </w:r>
          </w:p>
        </w:tc>
        <w:tc>
          <w:tcPr>
            <w:tcW w:w="1477" w:type="dxa"/>
            <w:tcBorders>
              <w:top w:val="nil"/>
              <w:left w:val="nil"/>
              <w:bottom w:val="single" w:color="auto" w:sz="8" w:space="0"/>
              <w:right w:val="single" w:color="auto" w:sz="8" w:space="0"/>
            </w:tcBorders>
            <w:tcMar>
              <w:top w:w="0" w:type="dxa"/>
              <w:left w:w="108" w:type="dxa"/>
              <w:bottom w:w="0" w:type="dxa"/>
              <w:right w:w="108" w:type="dxa"/>
            </w:tcMar>
          </w:tcPr>
          <w:p w14:paraId="4065B0A6">
            <w:pPr>
              <w:spacing w:before="203"/>
              <w:rPr>
                <w:color w:val="000000"/>
                <w:sz w:val="27"/>
                <w:szCs w:val="27"/>
              </w:rPr>
            </w:pPr>
            <w:r>
              <w:rPr>
                <w:color w:val="000000"/>
                <w:sz w:val="27"/>
                <w:szCs w:val="27"/>
              </w:rPr>
              <w:t>R$ 11.340,00</w:t>
            </w:r>
          </w:p>
        </w:tc>
      </w:tr>
      <w:tr w14:paraId="1B325803">
        <w:tblPrEx>
          <w:tblCellMar>
            <w:top w:w="0" w:type="dxa"/>
            <w:left w:w="0" w:type="dxa"/>
            <w:bottom w:w="0" w:type="dxa"/>
            <w:right w:w="0" w:type="dxa"/>
          </w:tblCellMar>
        </w:tblPrEx>
        <w:tc>
          <w:tcPr>
            <w:tcW w:w="1018" w:type="dxa"/>
            <w:tcBorders>
              <w:top w:val="nil"/>
              <w:left w:val="single" w:color="auto" w:sz="8" w:space="0"/>
              <w:bottom w:val="single" w:color="auto" w:sz="8" w:space="0"/>
              <w:right w:val="single" w:color="auto" w:sz="8" w:space="0"/>
            </w:tcBorders>
            <w:tcMar>
              <w:top w:w="0" w:type="dxa"/>
              <w:left w:w="108" w:type="dxa"/>
              <w:bottom w:w="0" w:type="dxa"/>
              <w:right w:w="108" w:type="dxa"/>
            </w:tcMar>
          </w:tcPr>
          <w:p w14:paraId="0671A4DD">
            <w:pPr>
              <w:spacing w:before="203"/>
              <w:jc w:val="center"/>
              <w:rPr>
                <w:color w:val="000000"/>
                <w:sz w:val="27"/>
                <w:szCs w:val="27"/>
              </w:rPr>
            </w:pPr>
            <w:r>
              <w:rPr>
                <w:color w:val="000000"/>
                <w:sz w:val="27"/>
                <w:szCs w:val="27"/>
              </w:rPr>
              <w:t>4</w:t>
            </w:r>
          </w:p>
        </w:tc>
        <w:tc>
          <w:tcPr>
            <w:tcW w:w="2780" w:type="dxa"/>
            <w:tcBorders>
              <w:top w:val="nil"/>
              <w:left w:val="nil"/>
              <w:bottom w:val="single" w:color="auto" w:sz="8" w:space="0"/>
              <w:right w:val="single" w:color="auto" w:sz="8" w:space="0"/>
            </w:tcBorders>
            <w:tcMar>
              <w:top w:w="0" w:type="dxa"/>
              <w:left w:w="108" w:type="dxa"/>
              <w:bottom w:w="0" w:type="dxa"/>
              <w:right w:w="108" w:type="dxa"/>
            </w:tcMar>
          </w:tcPr>
          <w:p w14:paraId="50CE6CBB">
            <w:pPr>
              <w:spacing w:before="1"/>
              <w:ind w:left="38"/>
              <w:rPr>
                <w:color w:val="000000"/>
                <w:sz w:val="27"/>
                <w:szCs w:val="27"/>
              </w:rPr>
            </w:pPr>
            <w:r>
              <w:rPr>
                <w:b/>
                <w:bCs/>
                <w:color w:val="000000"/>
                <w:sz w:val="27"/>
                <w:szCs w:val="27"/>
              </w:rPr>
              <w:t>URNA INFANTIL 0,60 CM – MADEIRA</w:t>
            </w:r>
          </w:p>
          <w:p w14:paraId="1A2E0F7D">
            <w:pPr>
              <w:spacing w:before="22" w:line="257" w:lineRule="atLeast"/>
              <w:ind w:left="38" w:right="14"/>
              <w:rPr>
                <w:color w:val="000000"/>
                <w:sz w:val="27"/>
                <w:szCs w:val="27"/>
              </w:rPr>
            </w:pPr>
            <w:r>
              <w:rPr>
                <w:color w:val="000000"/>
                <w:sz w:val="27"/>
                <w:szCs w:val="27"/>
              </w:rPr>
              <w:t>Modelo: SEXTAVADO , sem visor, fundo chapa de maneira prensada de 6mm, laterais da caixa confeccionada em madeira de pinus e laterais da tampa confeccionadas em madeira e quatro alça fixas em plástico, ou metalizada zincada, quatro chavetas para fechamento da tampa, acabamento interno com material biodegradável branco, com babado de TNT, travesseiro solto, acabamento externo na cor marfim</w:t>
            </w:r>
          </w:p>
          <w:p w14:paraId="7414E1CF">
            <w:pPr>
              <w:spacing w:before="3"/>
              <w:ind w:left="38"/>
              <w:rPr>
                <w:color w:val="000000"/>
                <w:sz w:val="27"/>
                <w:szCs w:val="27"/>
              </w:rPr>
            </w:pPr>
            <w:r>
              <w:rPr>
                <w:color w:val="000000"/>
                <w:sz w:val="27"/>
                <w:szCs w:val="27"/>
              </w:rPr>
              <w:t>, ou branco esmalte. Medidas</w:t>
            </w:r>
          </w:p>
          <w:p w14:paraId="6027B344">
            <w:pPr>
              <w:spacing w:before="22" w:line="257" w:lineRule="atLeast"/>
              <w:ind w:left="38" w:right="14"/>
              <w:rPr>
                <w:color w:val="000000"/>
                <w:sz w:val="27"/>
                <w:szCs w:val="27"/>
              </w:rPr>
            </w:pPr>
            <w:r>
              <w:rPr>
                <w:color w:val="000000"/>
                <w:sz w:val="27"/>
                <w:szCs w:val="27"/>
              </w:rPr>
              <w:t>Internas: Comprimento 1,94m x largura 0,60cm x altura 0,36cm.</w:t>
            </w:r>
          </w:p>
          <w:p w14:paraId="6E151549">
            <w:pPr>
              <w:spacing w:before="203"/>
              <w:rPr>
                <w:color w:val="000000"/>
                <w:sz w:val="27"/>
                <w:szCs w:val="27"/>
              </w:rPr>
            </w:pPr>
            <w:r>
              <w:rPr>
                <w:color w:val="000000"/>
                <w:sz w:val="27"/>
                <w:szCs w:val="27"/>
              </w:rPr>
              <w:t>Externas: Comprimento 2,04m x largura 0,75cm x altura 0,44cm</w:t>
            </w:r>
          </w:p>
        </w:tc>
        <w:tc>
          <w:tcPr>
            <w:tcW w:w="1777" w:type="dxa"/>
            <w:tcBorders>
              <w:top w:val="nil"/>
              <w:left w:val="nil"/>
              <w:bottom w:val="single" w:color="auto" w:sz="8" w:space="0"/>
              <w:right w:val="single" w:color="auto" w:sz="8" w:space="0"/>
            </w:tcBorders>
            <w:tcMar>
              <w:top w:w="0" w:type="dxa"/>
              <w:left w:w="108" w:type="dxa"/>
              <w:bottom w:w="0" w:type="dxa"/>
              <w:right w:w="108" w:type="dxa"/>
            </w:tcMar>
          </w:tcPr>
          <w:p w14:paraId="39DE8CB4">
            <w:pPr>
              <w:spacing w:before="203"/>
              <w:rPr>
                <w:color w:val="000000"/>
                <w:sz w:val="27"/>
                <w:szCs w:val="27"/>
              </w:rPr>
            </w:pPr>
            <w:r>
              <w:rPr>
                <w:color w:val="000000"/>
                <w:sz w:val="27"/>
                <w:szCs w:val="27"/>
              </w:rPr>
              <w:t>Unidade</w:t>
            </w:r>
          </w:p>
        </w:tc>
        <w:tc>
          <w:tcPr>
            <w:tcW w:w="2062" w:type="dxa"/>
            <w:tcBorders>
              <w:top w:val="nil"/>
              <w:left w:val="nil"/>
              <w:bottom w:val="single" w:color="auto" w:sz="8" w:space="0"/>
              <w:right w:val="single" w:color="auto" w:sz="8" w:space="0"/>
            </w:tcBorders>
            <w:tcMar>
              <w:top w:w="0" w:type="dxa"/>
              <w:left w:w="108" w:type="dxa"/>
              <w:bottom w:w="0" w:type="dxa"/>
              <w:right w:w="108" w:type="dxa"/>
            </w:tcMar>
          </w:tcPr>
          <w:p w14:paraId="29C8A08C">
            <w:pPr>
              <w:spacing w:before="203"/>
              <w:jc w:val="center"/>
              <w:rPr>
                <w:color w:val="000000"/>
                <w:sz w:val="27"/>
                <w:szCs w:val="27"/>
              </w:rPr>
            </w:pPr>
            <w:r>
              <w:rPr>
                <w:color w:val="000000"/>
                <w:sz w:val="27"/>
                <w:szCs w:val="27"/>
              </w:rPr>
              <w:t>70</w:t>
            </w:r>
          </w:p>
        </w:tc>
        <w:tc>
          <w:tcPr>
            <w:tcW w:w="1597" w:type="dxa"/>
            <w:tcBorders>
              <w:top w:val="nil"/>
              <w:left w:val="nil"/>
              <w:bottom w:val="single" w:color="auto" w:sz="8" w:space="0"/>
              <w:right w:val="single" w:color="auto" w:sz="8" w:space="0"/>
            </w:tcBorders>
            <w:tcMar>
              <w:top w:w="0" w:type="dxa"/>
              <w:left w:w="108" w:type="dxa"/>
              <w:bottom w:w="0" w:type="dxa"/>
              <w:right w:w="108" w:type="dxa"/>
            </w:tcMar>
          </w:tcPr>
          <w:p w14:paraId="10C3D575">
            <w:pPr>
              <w:spacing w:before="203"/>
              <w:rPr>
                <w:color w:val="000000"/>
                <w:sz w:val="27"/>
                <w:szCs w:val="27"/>
              </w:rPr>
            </w:pPr>
            <w:r>
              <w:rPr>
                <w:color w:val="000000"/>
                <w:sz w:val="27"/>
                <w:szCs w:val="27"/>
              </w:rPr>
              <w:t>R$ 380,00</w:t>
            </w:r>
          </w:p>
        </w:tc>
        <w:tc>
          <w:tcPr>
            <w:tcW w:w="1477" w:type="dxa"/>
            <w:tcBorders>
              <w:top w:val="nil"/>
              <w:left w:val="nil"/>
              <w:bottom w:val="single" w:color="auto" w:sz="8" w:space="0"/>
              <w:right w:val="single" w:color="auto" w:sz="8" w:space="0"/>
            </w:tcBorders>
            <w:tcMar>
              <w:top w:w="0" w:type="dxa"/>
              <w:left w:w="108" w:type="dxa"/>
              <w:bottom w:w="0" w:type="dxa"/>
              <w:right w:w="108" w:type="dxa"/>
            </w:tcMar>
          </w:tcPr>
          <w:p w14:paraId="43E09EA1">
            <w:pPr>
              <w:spacing w:before="203"/>
              <w:rPr>
                <w:color w:val="000000"/>
                <w:sz w:val="27"/>
                <w:szCs w:val="27"/>
              </w:rPr>
            </w:pPr>
            <w:r>
              <w:rPr>
                <w:color w:val="000000"/>
                <w:sz w:val="27"/>
                <w:szCs w:val="27"/>
              </w:rPr>
              <w:t>R$ 26.600,00</w:t>
            </w:r>
          </w:p>
        </w:tc>
      </w:tr>
      <w:tr w14:paraId="63F384DE">
        <w:tblPrEx>
          <w:tblCellMar>
            <w:top w:w="0" w:type="dxa"/>
            <w:left w:w="0" w:type="dxa"/>
            <w:bottom w:w="0" w:type="dxa"/>
            <w:right w:w="0" w:type="dxa"/>
          </w:tblCellMar>
        </w:tblPrEx>
        <w:tc>
          <w:tcPr>
            <w:tcW w:w="1018" w:type="dxa"/>
            <w:tcBorders>
              <w:top w:val="nil"/>
              <w:left w:val="single" w:color="auto" w:sz="8" w:space="0"/>
              <w:bottom w:val="single" w:color="auto" w:sz="8" w:space="0"/>
              <w:right w:val="single" w:color="auto" w:sz="8" w:space="0"/>
            </w:tcBorders>
            <w:tcMar>
              <w:top w:w="0" w:type="dxa"/>
              <w:left w:w="108" w:type="dxa"/>
              <w:bottom w:w="0" w:type="dxa"/>
              <w:right w:w="108" w:type="dxa"/>
            </w:tcMar>
          </w:tcPr>
          <w:p w14:paraId="7567368A">
            <w:pPr>
              <w:spacing w:before="203"/>
              <w:jc w:val="center"/>
              <w:rPr>
                <w:color w:val="000000"/>
                <w:sz w:val="27"/>
                <w:szCs w:val="27"/>
              </w:rPr>
            </w:pPr>
            <w:r>
              <w:rPr>
                <w:color w:val="000000"/>
                <w:sz w:val="27"/>
                <w:szCs w:val="27"/>
              </w:rPr>
              <w:t>5</w:t>
            </w:r>
          </w:p>
        </w:tc>
        <w:tc>
          <w:tcPr>
            <w:tcW w:w="2780" w:type="dxa"/>
            <w:tcBorders>
              <w:top w:val="nil"/>
              <w:left w:val="nil"/>
              <w:bottom w:val="single" w:color="auto" w:sz="8" w:space="0"/>
              <w:right w:val="single" w:color="auto" w:sz="8" w:space="0"/>
            </w:tcBorders>
            <w:tcMar>
              <w:top w:w="0" w:type="dxa"/>
              <w:left w:w="108" w:type="dxa"/>
              <w:bottom w:w="0" w:type="dxa"/>
              <w:right w:w="108" w:type="dxa"/>
            </w:tcMar>
          </w:tcPr>
          <w:p w14:paraId="13A448F7">
            <w:pPr>
              <w:spacing w:before="1"/>
              <w:ind w:left="38"/>
              <w:rPr>
                <w:color w:val="000000"/>
                <w:sz w:val="27"/>
                <w:szCs w:val="27"/>
              </w:rPr>
            </w:pPr>
            <w:r>
              <w:rPr>
                <w:b/>
                <w:bCs/>
                <w:color w:val="000000"/>
                <w:sz w:val="27"/>
                <w:szCs w:val="27"/>
              </w:rPr>
              <w:t>URNA INFANTIL 1,40 CM – MADEIRA</w:t>
            </w:r>
          </w:p>
          <w:p w14:paraId="208FF6E3">
            <w:pPr>
              <w:spacing w:before="22" w:line="257" w:lineRule="atLeast"/>
              <w:ind w:left="38" w:right="14"/>
              <w:rPr>
                <w:color w:val="000000"/>
                <w:sz w:val="27"/>
                <w:szCs w:val="27"/>
              </w:rPr>
            </w:pPr>
            <w:r>
              <w:rPr>
                <w:color w:val="000000"/>
                <w:sz w:val="27"/>
                <w:szCs w:val="27"/>
              </w:rPr>
              <w:t>Modelo: SEXTAVADO , sem visor, fundo chapa de maneira prensada de 6mm, laterais da caixa confeccionada em madeira de pinus e laterais da tampa confeccionadas em madeira e quatro alça fixas em plástico, ou metalizada zincada, quatro chavetas para fechamento da tampa, acabamento interno com material biodegradável branco, com babado de TNT, travesseiro solto, acabamento externo na cor marfim</w:t>
            </w:r>
          </w:p>
          <w:p w14:paraId="4DFF1D0F">
            <w:pPr>
              <w:spacing w:before="3" w:line="257" w:lineRule="atLeast"/>
              <w:ind w:left="38" w:right="62"/>
              <w:rPr>
                <w:color w:val="000000"/>
                <w:sz w:val="27"/>
                <w:szCs w:val="27"/>
              </w:rPr>
            </w:pPr>
            <w:r>
              <w:rPr>
                <w:color w:val="000000"/>
                <w:sz w:val="27"/>
                <w:szCs w:val="27"/>
              </w:rPr>
              <w:t>, ou branco esmalte. Medidas: Internas: Comprimento 1,00m x largura 0,44cm x altura 0,27cm.</w:t>
            </w:r>
          </w:p>
          <w:p w14:paraId="4F0AA3F0">
            <w:pPr>
              <w:spacing w:before="2"/>
              <w:ind w:left="38"/>
              <w:rPr>
                <w:color w:val="000000"/>
                <w:sz w:val="27"/>
                <w:szCs w:val="27"/>
              </w:rPr>
            </w:pPr>
            <w:r>
              <w:rPr>
                <w:color w:val="000000"/>
                <w:sz w:val="27"/>
                <w:szCs w:val="27"/>
              </w:rPr>
              <w:t>Externas: Comprimento 1,47m x largura 0,49cm x</w:t>
            </w:r>
          </w:p>
          <w:p w14:paraId="663FFFB5">
            <w:pPr>
              <w:spacing w:before="203"/>
              <w:rPr>
                <w:color w:val="000000"/>
                <w:sz w:val="27"/>
                <w:szCs w:val="27"/>
              </w:rPr>
            </w:pPr>
            <w:r>
              <w:rPr>
                <w:color w:val="000000"/>
                <w:sz w:val="27"/>
                <w:szCs w:val="27"/>
              </w:rPr>
              <w:t>altura 0,31cm.</w:t>
            </w:r>
          </w:p>
        </w:tc>
        <w:tc>
          <w:tcPr>
            <w:tcW w:w="1777" w:type="dxa"/>
            <w:tcBorders>
              <w:top w:val="nil"/>
              <w:left w:val="nil"/>
              <w:bottom w:val="single" w:color="auto" w:sz="8" w:space="0"/>
              <w:right w:val="single" w:color="auto" w:sz="8" w:space="0"/>
            </w:tcBorders>
            <w:tcMar>
              <w:top w:w="0" w:type="dxa"/>
              <w:left w:w="108" w:type="dxa"/>
              <w:bottom w:w="0" w:type="dxa"/>
              <w:right w:w="108" w:type="dxa"/>
            </w:tcMar>
          </w:tcPr>
          <w:p w14:paraId="4041B492">
            <w:pPr>
              <w:spacing w:before="203"/>
              <w:rPr>
                <w:color w:val="000000"/>
                <w:sz w:val="27"/>
                <w:szCs w:val="27"/>
              </w:rPr>
            </w:pPr>
            <w:r>
              <w:rPr>
                <w:color w:val="000000"/>
                <w:sz w:val="27"/>
                <w:szCs w:val="27"/>
              </w:rPr>
              <w:t>Unidade</w:t>
            </w:r>
          </w:p>
        </w:tc>
        <w:tc>
          <w:tcPr>
            <w:tcW w:w="2062" w:type="dxa"/>
            <w:tcBorders>
              <w:top w:val="nil"/>
              <w:left w:val="nil"/>
              <w:bottom w:val="single" w:color="auto" w:sz="8" w:space="0"/>
              <w:right w:val="single" w:color="auto" w:sz="8" w:space="0"/>
            </w:tcBorders>
            <w:tcMar>
              <w:top w:w="0" w:type="dxa"/>
              <w:left w:w="108" w:type="dxa"/>
              <w:bottom w:w="0" w:type="dxa"/>
              <w:right w:w="108" w:type="dxa"/>
            </w:tcMar>
          </w:tcPr>
          <w:p w14:paraId="33B91B82">
            <w:pPr>
              <w:spacing w:before="203"/>
              <w:jc w:val="center"/>
              <w:rPr>
                <w:color w:val="000000"/>
                <w:sz w:val="27"/>
                <w:szCs w:val="27"/>
              </w:rPr>
            </w:pPr>
            <w:r>
              <w:rPr>
                <w:color w:val="000000"/>
                <w:sz w:val="27"/>
                <w:szCs w:val="27"/>
              </w:rPr>
              <w:t>10</w:t>
            </w:r>
          </w:p>
        </w:tc>
        <w:tc>
          <w:tcPr>
            <w:tcW w:w="1597" w:type="dxa"/>
            <w:tcBorders>
              <w:top w:val="nil"/>
              <w:left w:val="nil"/>
              <w:bottom w:val="single" w:color="auto" w:sz="8" w:space="0"/>
              <w:right w:val="single" w:color="auto" w:sz="8" w:space="0"/>
            </w:tcBorders>
            <w:tcMar>
              <w:top w:w="0" w:type="dxa"/>
              <w:left w:w="108" w:type="dxa"/>
              <w:bottom w:w="0" w:type="dxa"/>
              <w:right w:w="108" w:type="dxa"/>
            </w:tcMar>
          </w:tcPr>
          <w:p w14:paraId="5F61153A">
            <w:pPr>
              <w:spacing w:before="203"/>
              <w:rPr>
                <w:color w:val="000000"/>
                <w:sz w:val="27"/>
                <w:szCs w:val="27"/>
              </w:rPr>
            </w:pPr>
            <w:r>
              <w:rPr>
                <w:color w:val="000000"/>
                <w:sz w:val="27"/>
                <w:szCs w:val="27"/>
              </w:rPr>
              <w:t>R$ 500,00</w:t>
            </w:r>
          </w:p>
        </w:tc>
        <w:tc>
          <w:tcPr>
            <w:tcW w:w="1477" w:type="dxa"/>
            <w:tcBorders>
              <w:top w:val="nil"/>
              <w:left w:val="nil"/>
              <w:bottom w:val="single" w:color="auto" w:sz="8" w:space="0"/>
              <w:right w:val="single" w:color="auto" w:sz="8" w:space="0"/>
            </w:tcBorders>
            <w:tcMar>
              <w:top w:w="0" w:type="dxa"/>
              <w:left w:w="108" w:type="dxa"/>
              <w:bottom w:w="0" w:type="dxa"/>
              <w:right w:w="108" w:type="dxa"/>
            </w:tcMar>
          </w:tcPr>
          <w:p w14:paraId="2A784B75">
            <w:pPr>
              <w:spacing w:before="203"/>
              <w:rPr>
                <w:color w:val="000000"/>
                <w:sz w:val="27"/>
                <w:szCs w:val="27"/>
              </w:rPr>
            </w:pPr>
            <w:r>
              <w:rPr>
                <w:color w:val="000000"/>
                <w:sz w:val="27"/>
                <w:szCs w:val="27"/>
              </w:rPr>
              <w:t>R$ 5.000,00</w:t>
            </w:r>
          </w:p>
        </w:tc>
      </w:tr>
      <w:tr w14:paraId="2B88BF19">
        <w:tblPrEx>
          <w:tblCellMar>
            <w:top w:w="0" w:type="dxa"/>
            <w:left w:w="0" w:type="dxa"/>
            <w:bottom w:w="0" w:type="dxa"/>
            <w:right w:w="0" w:type="dxa"/>
          </w:tblCellMar>
        </w:tblPrEx>
        <w:tc>
          <w:tcPr>
            <w:tcW w:w="1018" w:type="dxa"/>
            <w:tcBorders>
              <w:top w:val="nil"/>
              <w:left w:val="single" w:color="auto" w:sz="8" w:space="0"/>
              <w:bottom w:val="single" w:color="auto" w:sz="8" w:space="0"/>
              <w:right w:val="single" w:color="auto" w:sz="8" w:space="0"/>
            </w:tcBorders>
            <w:tcMar>
              <w:top w:w="0" w:type="dxa"/>
              <w:left w:w="108" w:type="dxa"/>
              <w:bottom w:w="0" w:type="dxa"/>
              <w:right w:w="108" w:type="dxa"/>
            </w:tcMar>
          </w:tcPr>
          <w:p w14:paraId="103D2FCA">
            <w:pPr>
              <w:spacing w:before="203"/>
              <w:jc w:val="center"/>
              <w:rPr>
                <w:color w:val="000000"/>
                <w:sz w:val="27"/>
                <w:szCs w:val="27"/>
              </w:rPr>
            </w:pPr>
            <w:r>
              <w:rPr>
                <w:color w:val="000000"/>
                <w:sz w:val="27"/>
                <w:szCs w:val="27"/>
              </w:rPr>
              <w:t>6</w:t>
            </w:r>
          </w:p>
        </w:tc>
        <w:tc>
          <w:tcPr>
            <w:tcW w:w="2780" w:type="dxa"/>
            <w:tcBorders>
              <w:top w:val="nil"/>
              <w:left w:val="nil"/>
              <w:bottom w:val="single" w:color="auto" w:sz="8" w:space="0"/>
              <w:right w:val="single" w:color="auto" w:sz="8" w:space="0"/>
            </w:tcBorders>
            <w:tcMar>
              <w:top w:w="0" w:type="dxa"/>
              <w:left w:w="108" w:type="dxa"/>
              <w:bottom w:w="0" w:type="dxa"/>
              <w:right w:w="108" w:type="dxa"/>
            </w:tcMar>
          </w:tcPr>
          <w:p w14:paraId="165F0485">
            <w:pPr>
              <w:spacing w:before="1"/>
              <w:ind w:left="38"/>
              <w:rPr>
                <w:color w:val="000000"/>
                <w:sz w:val="27"/>
                <w:szCs w:val="27"/>
              </w:rPr>
            </w:pPr>
            <w:r>
              <w:rPr>
                <w:b/>
                <w:bCs/>
                <w:color w:val="000000"/>
                <w:sz w:val="27"/>
                <w:szCs w:val="27"/>
              </w:rPr>
              <w:t>URNA INFANTIL 1,60 CM – MADEIRA</w:t>
            </w:r>
          </w:p>
          <w:p w14:paraId="563D1544">
            <w:pPr>
              <w:spacing w:before="22" w:line="257" w:lineRule="atLeast"/>
              <w:ind w:left="38" w:right="14"/>
              <w:rPr>
                <w:color w:val="000000"/>
                <w:sz w:val="27"/>
                <w:szCs w:val="27"/>
              </w:rPr>
            </w:pPr>
            <w:r>
              <w:rPr>
                <w:color w:val="000000"/>
                <w:sz w:val="27"/>
                <w:szCs w:val="27"/>
              </w:rPr>
              <w:t>Modelo: SEXTAVADO , sem visor, fundo chapa de maneira prensada de 6mm, laterais da caixa confeccionada em madeira de pinus e laterais da tampa confeccionadas em madeira e quatro alça fixas em plástico, ou metalizada zincada, quatro chavetas para fechamento da tampa, acabamento interno com material biodegradável branco, com babado de TNT, travesseiro solto, acabamento externo na cor marfim</w:t>
            </w:r>
          </w:p>
          <w:p w14:paraId="0065BF54">
            <w:pPr>
              <w:spacing w:before="3" w:line="257" w:lineRule="atLeast"/>
              <w:ind w:left="38" w:right="47"/>
              <w:rPr>
                <w:color w:val="000000"/>
                <w:sz w:val="27"/>
                <w:szCs w:val="27"/>
              </w:rPr>
            </w:pPr>
            <w:r>
              <w:rPr>
                <w:color w:val="000000"/>
                <w:sz w:val="27"/>
                <w:szCs w:val="27"/>
              </w:rPr>
              <w:t>, ou branco esmalte. Medidas - Média: Internas: Comprimento 1,60m x largura 0,48cm x altura 0,27cm.</w:t>
            </w:r>
          </w:p>
          <w:p w14:paraId="5A69A306">
            <w:pPr>
              <w:spacing w:before="1"/>
              <w:ind w:left="38"/>
              <w:rPr>
                <w:color w:val="000000"/>
                <w:sz w:val="27"/>
                <w:szCs w:val="27"/>
              </w:rPr>
            </w:pPr>
            <w:r>
              <w:rPr>
                <w:color w:val="000000"/>
                <w:sz w:val="27"/>
                <w:szCs w:val="27"/>
              </w:rPr>
              <w:t>Externas: Comprimento 1,67m x largura 0,54cm x</w:t>
            </w:r>
          </w:p>
          <w:p w14:paraId="21A00F26">
            <w:pPr>
              <w:spacing w:before="203"/>
              <w:rPr>
                <w:color w:val="000000"/>
                <w:sz w:val="27"/>
                <w:szCs w:val="27"/>
              </w:rPr>
            </w:pPr>
            <w:r>
              <w:rPr>
                <w:color w:val="000000"/>
                <w:sz w:val="27"/>
                <w:szCs w:val="27"/>
              </w:rPr>
              <w:t>altura 0,31cm.</w:t>
            </w:r>
          </w:p>
        </w:tc>
        <w:tc>
          <w:tcPr>
            <w:tcW w:w="1777" w:type="dxa"/>
            <w:tcBorders>
              <w:top w:val="nil"/>
              <w:left w:val="nil"/>
              <w:bottom w:val="single" w:color="auto" w:sz="8" w:space="0"/>
              <w:right w:val="single" w:color="auto" w:sz="8" w:space="0"/>
            </w:tcBorders>
            <w:tcMar>
              <w:top w:w="0" w:type="dxa"/>
              <w:left w:w="108" w:type="dxa"/>
              <w:bottom w:w="0" w:type="dxa"/>
              <w:right w:w="108" w:type="dxa"/>
            </w:tcMar>
          </w:tcPr>
          <w:p w14:paraId="1471F13C">
            <w:pPr>
              <w:spacing w:before="203"/>
              <w:rPr>
                <w:color w:val="000000"/>
                <w:sz w:val="27"/>
                <w:szCs w:val="27"/>
              </w:rPr>
            </w:pPr>
            <w:r>
              <w:rPr>
                <w:color w:val="000000"/>
                <w:sz w:val="27"/>
                <w:szCs w:val="27"/>
              </w:rPr>
              <w:t>Unidade</w:t>
            </w:r>
          </w:p>
        </w:tc>
        <w:tc>
          <w:tcPr>
            <w:tcW w:w="2062" w:type="dxa"/>
            <w:tcBorders>
              <w:top w:val="nil"/>
              <w:left w:val="nil"/>
              <w:bottom w:val="single" w:color="auto" w:sz="8" w:space="0"/>
              <w:right w:val="single" w:color="auto" w:sz="8" w:space="0"/>
            </w:tcBorders>
            <w:tcMar>
              <w:top w:w="0" w:type="dxa"/>
              <w:left w:w="108" w:type="dxa"/>
              <w:bottom w:w="0" w:type="dxa"/>
              <w:right w:w="108" w:type="dxa"/>
            </w:tcMar>
          </w:tcPr>
          <w:p w14:paraId="724048C3">
            <w:pPr>
              <w:spacing w:before="203"/>
              <w:jc w:val="center"/>
              <w:rPr>
                <w:color w:val="000000"/>
                <w:sz w:val="27"/>
                <w:szCs w:val="27"/>
              </w:rPr>
            </w:pPr>
            <w:r>
              <w:rPr>
                <w:color w:val="000000"/>
                <w:sz w:val="27"/>
                <w:szCs w:val="27"/>
              </w:rPr>
              <w:t>8</w:t>
            </w:r>
          </w:p>
        </w:tc>
        <w:tc>
          <w:tcPr>
            <w:tcW w:w="1597" w:type="dxa"/>
            <w:tcBorders>
              <w:top w:val="nil"/>
              <w:left w:val="nil"/>
              <w:bottom w:val="single" w:color="auto" w:sz="8" w:space="0"/>
              <w:right w:val="single" w:color="auto" w:sz="8" w:space="0"/>
            </w:tcBorders>
            <w:tcMar>
              <w:top w:w="0" w:type="dxa"/>
              <w:left w:w="108" w:type="dxa"/>
              <w:bottom w:w="0" w:type="dxa"/>
              <w:right w:w="108" w:type="dxa"/>
            </w:tcMar>
          </w:tcPr>
          <w:p w14:paraId="273442FF">
            <w:pPr>
              <w:spacing w:before="203"/>
              <w:rPr>
                <w:color w:val="000000"/>
                <w:sz w:val="27"/>
                <w:szCs w:val="27"/>
              </w:rPr>
            </w:pPr>
            <w:r>
              <w:rPr>
                <w:color w:val="000000"/>
                <w:sz w:val="27"/>
                <w:szCs w:val="27"/>
              </w:rPr>
              <w:t>R$ 680,00</w:t>
            </w:r>
          </w:p>
        </w:tc>
        <w:tc>
          <w:tcPr>
            <w:tcW w:w="1477" w:type="dxa"/>
            <w:tcBorders>
              <w:top w:val="nil"/>
              <w:left w:val="nil"/>
              <w:bottom w:val="single" w:color="auto" w:sz="8" w:space="0"/>
              <w:right w:val="single" w:color="auto" w:sz="8" w:space="0"/>
            </w:tcBorders>
            <w:tcMar>
              <w:top w:w="0" w:type="dxa"/>
              <w:left w:w="108" w:type="dxa"/>
              <w:bottom w:w="0" w:type="dxa"/>
              <w:right w:w="108" w:type="dxa"/>
            </w:tcMar>
          </w:tcPr>
          <w:p w14:paraId="1AFB08AE">
            <w:pPr>
              <w:spacing w:before="203"/>
              <w:rPr>
                <w:color w:val="000000"/>
                <w:sz w:val="27"/>
                <w:szCs w:val="27"/>
              </w:rPr>
            </w:pPr>
            <w:r>
              <w:rPr>
                <w:color w:val="000000"/>
                <w:sz w:val="27"/>
                <w:szCs w:val="27"/>
              </w:rPr>
              <w:t>R$ 5.440,00</w:t>
            </w:r>
          </w:p>
        </w:tc>
      </w:tr>
      <w:tr w14:paraId="5F15B98D">
        <w:tblPrEx>
          <w:tblCellMar>
            <w:top w:w="0" w:type="dxa"/>
            <w:left w:w="0" w:type="dxa"/>
            <w:bottom w:w="0" w:type="dxa"/>
            <w:right w:w="0" w:type="dxa"/>
          </w:tblCellMar>
        </w:tblPrEx>
        <w:tc>
          <w:tcPr>
            <w:tcW w:w="1018" w:type="dxa"/>
            <w:tcBorders>
              <w:top w:val="nil"/>
              <w:left w:val="single" w:color="auto" w:sz="8" w:space="0"/>
              <w:bottom w:val="single" w:color="auto" w:sz="8" w:space="0"/>
              <w:right w:val="single" w:color="auto" w:sz="8" w:space="0"/>
            </w:tcBorders>
            <w:tcMar>
              <w:top w:w="0" w:type="dxa"/>
              <w:left w:w="108" w:type="dxa"/>
              <w:bottom w:w="0" w:type="dxa"/>
              <w:right w:w="108" w:type="dxa"/>
            </w:tcMar>
          </w:tcPr>
          <w:p w14:paraId="3817EB4A">
            <w:pPr>
              <w:spacing w:before="203"/>
              <w:jc w:val="center"/>
              <w:rPr>
                <w:color w:val="000000"/>
                <w:sz w:val="27"/>
                <w:szCs w:val="27"/>
              </w:rPr>
            </w:pPr>
            <w:r>
              <w:rPr>
                <w:color w:val="000000"/>
                <w:sz w:val="27"/>
                <w:szCs w:val="27"/>
              </w:rPr>
              <w:t>7</w:t>
            </w:r>
          </w:p>
        </w:tc>
        <w:tc>
          <w:tcPr>
            <w:tcW w:w="2780" w:type="dxa"/>
            <w:tcBorders>
              <w:top w:val="nil"/>
              <w:left w:val="nil"/>
              <w:bottom w:val="single" w:color="auto" w:sz="8" w:space="0"/>
              <w:right w:val="single" w:color="auto" w:sz="8" w:space="0"/>
            </w:tcBorders>
            <w:tcMar>
              <w:top w:w="0" w:type="dxa"/>
              <w:left w:w="108" w:type="dxa"/>
              <w:bottom w:w="0" w:type="dxa"/>
              <w:right w:w="108" w:type="dxa"/>
            </w:tcMar>
          </w:tcPr>
          <w:p w14:paraId="08AA3B1F">
            <w:pPr>
              <w:spacing w:before="2"/>
              <w:ind w:left="38"/>
              <w:rPr>
                <w:color w:val="000000"/>
                <w:sz w:val="27"/>
                <w:szCs w:val="27"/>
              </w:rPr>
            </w:pPr>
            <w:r>
              <w:rPr>
                <w:b/>
                <w:bCs/>
                <w:color w:val="000000"/>
                <w:sz w:val="27"/>
                <w:szCs w:val="27"/>
              </w:rPr>
              <w:t>URNA MORTUÁRIA EXTRA GORDA– MADEIRA</w:t>
            </w:r>
          </w:p>
          <w:p w14:paraId="05AAC173">
            <w:pPr>
              <w:spacing w:before="22" w:line="257" w:lineRule="atLeast"/>
              <w:ind w:left="38" w:right="14"/>
              <w:rPr>
                <w:color w:val="000000"/>
                <w:sz w:val="27"/>
                <w:szCs w:val="27"/>
              </w:rPr>
            </w:pPr>
            <w:r>
              <w:rPr>
                <w:color w:val="000000"/>
                <w:sz w:val="27"/>
                <w:szCs w:val="27"/>
              </w:rPr>
              <w:t>Modelo: SEXTAVADO – Caixa: confeccionada em madeira de pinus, fundo misto em madeira e chapa dura de alta resistência colado e grampeado, bordada em relevo nas laterais. Tampa: confeccionada em madeira de pinus bordadas nas laterais, com encaixes e guias, com 4 chavetas para seu fechamento.</w:t>
            </w:r>
          </w:p>
          <w:p w14:paraId="02CBFA33">
            <w:pPr>
              <w:spacing w:before="2" w:line="257" w:lineRule="atLeast"/>
              <w:ind w:left="38" w:right="14"/>
              <w:rPr>
                <w:color w:val="000000"/>
                <w:sz w:val="27"/>
                <w:szCs w:val="27"/>
              </w:rPr>
            </w:pPr>
            <w:r>
              <w:rPr>
                <w:color w:val="000000"/>
                <w:sz w:val="27"/>
                <w:szCs w:val="27"/>
              </w:rPr>
              <w:t>Tampo: confeccionado em chapa dura (fibra de eucalipto)</w:t>
            </w:r>
          </w:p>
          <w:p w14:paraId="664A2A73">
            <w:pPr>
              <w:spacing w:line="257" w:lineRule="atLeast"/>
              <w:ind w:left="38" w:right="14"/>
              <w:rPr>
                <w:color w:val="000000"/>
                <w:sz w:val="27"/>
                <w:szCs w:val="27"/>
              </w:rPr>
            </w:pPr>
            <w:r>
              <w:rPr>
                <w:color w:val="000000"/>
                <w:sz w:val="27"/>
                <w:szCs w:val="27"/>
              </w:rPr>
              <w:t>decorado artisticamente em silkscreen dourado, SEM VISOR. Alças fixas pigmentada forrada internamente em papel branco. Travesseiro solto, acabamento externo na cor cerejeira, mogno ou marfim com verniz</w:t>
            </w:r>
          </w:p>
          <w:p w14:paraId="464B7943">
            <w:pPr>
              <w:spacing w:before="203"/>
              <w:rPr>
                <w:color w:val="000000"/>
                <w:sz w:val="27"/>
                <w:szCs w:val="27"/>
              </w:rPr>
            </w:pPr>
            <w:r>
              <w:rPr>
                <w:color w:val="000000"/>
                <w:sz w:val="27"/>
                <w:szCs w:val="27"/>
              </w:rPr>
              <w:t>- Medidas interna aproximadas: 2,13 X 0,85 X 0,48.</w:t>
            </w:r>
          </w:p>
        </w:tc>
        <w:tc>
          <w:tcPr>
            <w:tcW w:w="1777" w:type="dxa"/>
            <w:tcBorders>
              <w:top w:val="nil"/>
              <w:left w:val="nil"/>
              <w:bottom w:val="single" w:color="auto" w:sz="8" w:space="0"/>
              <w:right w:val="single" w:color="auto" w:sz="8" w:space="0"/>
            </w:tcBorders>
            <w:tcMar>
              <w:top w:w="0" w:type="dxa"/>
              <w:left w:w="108" w:type="dxa"/>
              <w:bottom w:w="0" w:type="dxa"/>
              <w:right w:w="108" w:type="dxa"/>
            </w:tcMar>
          </w:tcPr>
          <w:p w14:paraId="5877D701">
            <w:pPr>
              <w:spacing w:before="203"/>
              <w:rPr>
                <w:color w:val="000000"/>
                <w:sz w:val="27"/>
                <w:szCs w:val="27"/>
              </w:rPr>
            </w:pPr>
            <w:r>
              <w:rPr>
                <w:color w:val="000000"/>
                <w:sz w:val="27"/>
                <w:szCs w:val="27"/>
              </w:rPr>
              <w:t>Unidade</w:t>
            </w:r>
          </w:p>
        </w:tc>
        <w:tc>
          <w:tcPr>
            <w:tcW w:w="2062" w:type="dxa"/>
            <w:tcBorders>
              <w:top w:val="nil"/>
              <w:left w:val="nil"/>
              <w:bottom w:val="single" w:color="auto" w:sz="8" w:space="0"/>
              <w:right w:val="single" w:color="auto" w:sz="8" w:space="0"/>
            </w:tcBorders>
            <w:tcMar>
              <w:top w:w="0" w:type="dxa"/>
              <w:left w:w="108" w:type="dxa"/>
              <w:bottom w:w="0" w:type="dxa"/>
              <w:right w:w="108" w:type="dxa"/>
            </w:tcMar>
          </w:tcPr>
          <w:p w14:paraId="08802F23">
            <w:pPr>
              <w:spacing w:before="203"/>
              <w:jc w:val="center"/>
              <w:rPr>
                <w:color w:val="000000"/>
                <w:sz w:val="27"/>
                <w:szCs w:val="27"/>
              </w:rPr>
            </w:pPr>
            <w:r>
              <w:rPr>
                <w:color w:val="000000"/>
                <w:sz w:val="27"/>
                <w:szCs w:val="27"/>
              </w:rPr>
              <w:t>3</w:t>
            </w:r>
          </w:p>
        </w:tc>
        <w:tc>
          <w:tcPr>
            <w:tcW w:w="1597" w:type="dxa"/>
            <w:tcBorders>
              <w:top w:val="nil"/>
              <w:left w:val="nil"/>
              <w:bottom w:val="single" w:color="auto" w:sz="8" w:space="0"/>
              <w:right w:val="single" w:color="auto" w:sz="8" w:space="0"/>
            </w:tcBorders>
            <w:tcMar>
              <w:top w:w="0" w:type="dxa"/>
              <w:left w:w="108" w:type="dxa"/>
              <w:bottom w:w="0" w:type="dxa"/>
              <w:right w:w="108" w:type="dxa"/>
            </w:tcMar>
          </w:tcPr>
          <w:p w14:paraId="389D092A">
            <w:pPr>
              <w:spacing w:before="203"/>
              <w:rPr>
                <w:color w:val="000000"/>
                <w:sz w:val="27"/>
                <w:szCs w:val="27"/>
              </w:rPr>
            </w:pPr>
            <w:r>
              <w:rPr>
                <w:color w:val="000000"/>
                <w:sz w:val="27"/>
                <w:szCs w:val="27"/>
              </w:rPr>
              <w:t>R$ 2.420,00</w:t>
            </w:r>
          </w:p>
        </w:tc>
        <w:tc>
          <w:tcPr>
            <w:tcW w:w="1477" w:type="dxa"/>
            <w:tcBorders>
              <w:top w:val="nil"/>
              <w:left w:val="nil"/>
              <w:bottom w:val="single" w:color="auto" w:sz="8" w:space="0"/>
              <w:right w:val="single" w:color="auto" w:sz="8" w:space="0"/>
            </w:tcBorders>
            <w:tcMar>
              <w:top w:w="0" w:type="dxa"/>
              <w:left w:w="108" w:type="dxa"/>
              <w:bottom w:w="0" w:type="dxa"/>
              <w:right w:w="108" w:type="dxa"/>
            </w:tcMar>
          </w:tcPr>
          <w:p w14:paraId="7B75539D">
            <w:pPr>
              <w:spacing w:before="203"/>
              <w:rPr>
                <w:color w:val="000000"/>
                <w:sz w:val="27"/>
                <w:szCs w:val="27"/>
              </w:rPr>
            </w:pPr>
            <w:r>
              <w:rPr>
                <w:color w:val="000000"/>
                <w:sz w:val="27"/>
                <w:szCs w:val="27"/>
              </w:rPr>
              <w:t>R$7.260,00</w:t>
            </w:r>
          </w:p>
        </w:tc>
      </w:tr>
      <w:tr w14:paraId="71FA848D">
        <w:tblPrEx>
          <w:tblCellMar>
            <w:top w:w="0" w:type="dxa"/>
            <w:left w:w="0" w:type="dxa"/>
            <w:bottom w:w="0" w:type="dxa"/>
            <w:right w:w="0" w:type="dxa"/>
          </w:tblCellMar>
        </w:tblPrEx>
        <w:tc>
          <w:tcPr>
            <w:tcW w:w="1018" w:type="dxa"/>
            <w:tcBorders>
              <w:top w:val="nil"/>
              <w:left w:val="single" w:color="auto" w:sz="8" w:space="0"/>
              <w:bottom w:val="single" w:color="auto" w:sz="8" w:space="0"/>
              <w:right w:val="single" w:color="auto" w:sz="8" w:space="0"/>
            </w:tcBorders>
            <w:tcMar>
              <w:top w:w="0" w:type="dxa"/>
              <w:left w:w="108" w:type="dxa"/>
              <w:bottom w:w="0" w:type="dxa"/>
              <w:right w:w="108" w:type="dxa"/>
            </w:tcMar>
          </w:tcPr>
          <w:p w14:paraId="5F7C3874">
            <w:pPr>
              <w:spacing w:before="203"/>
              <w:jc w:val="center"/>
              <w:rPr>
                <w:color w:val="000000"/>
                <w:sz w:val="27"/>
                <w:szCs w:val="27"/>
              </w:rPr>
            </w:pPr>
            <w:r>
              <w:rPr>
                <w:color w:val="000000"/>
                <w:sz w:val="27"/>
                <w:szCs w:val="27"/>
              </w:rPr>
              <w:t>8</w:t>
            </w:r>
          </w:p>
        </w:tc>
        <w:tc>
          <w:tcPr>
            <w:tcW w:w="2780" w:type="dxa"/>
            <w:tcBorders>
              <w:top w:val="nil"/>
              <w:left w:val="nil"/>
              <w:bottom w:val="single" w:color="auto" w:sz="8" w:space="0"/>
              <w:right w:val="single" w:color="auto" w:sz="8" w:space="0"/>
            </w:tcBorders>
            <w:tcMar>
              <w:top w:w="0" w:type="dxa"/>
              <w:left w:w="108" w:type="dxa"/>
              <w:bottom w:w="0" w:type="dxa"/>
              <w:right w:w="108" w:type="dxa"/>
            </w:tcMar>
          </w:tcPr>
          <w:p w14:paraId="3B8E9900">
            <w:pPr>
              <w:spacing w:before="1"/>
              <w:ind w:left="38"/>
              <w:rPr>
                <w:color w:val="000000"/>
                <w:sz w:val="27"/>
                <w:szCs w:val="27"/>
              </w:rPr>
            </w:pPr>
            <w:r>
              <w:rPr>
                <w:b/>
                <w:bCs/>
                <w:color w:val="000000"/>
                <w:sz w:val="27"/>
                <w:szCs w:val="27"/>
              </w:rPr>
              <w:t>URNA MORTUÁRIA SUPER GORDA – MADEIRA</w:t>
            </w:r>
          </w:p>
          <w:p w14:paraId="68906D30">
            <w:pPr>
              <w:spacing w:before="22" w:line="257" w:lineRule="atLeast"/>
              <w:ind w:left="38" w:right="14"/>
              <w:rPr>
                <w:color w:val="000000"/>
                <w:sz w:val="27"/>
                <w:szCs w:val="27"/>
              </w:rPr>
            </w:pPr>
            <w:r>
              <w:rPr>
                <w:color w:val="000000"/>
                <w:sz w:val="27"/>
                <w:szCs w:val="27"/>
              </w:rPr>
              <w:t>Modelo: SEXTAVADO – Caixa: confeccionada em madeira de pinus, fundo misto em madeira e chapa dura de alta resistência colado e grampeado, bordada em relevo nas laterais. Tampa: confeccionada em madeira de pinus bordadas nas laterais, com encaixes e guias, com 4 chavetas para seu fechamento.</w:t>
            </w:r>
          </w:p>
          <w:p w14:paraId="07B9C2A0">
            <w:pPr>
              <w:spacing w:before="2" w:line="257" w:lineRule="atLeast"/>
              <w:ind w:left="38" w:right="14"/>
              <w:rPr>
                <w:color w:val="000000"/>
                <w:sz w:val="27"/>
                <w:szCs w:val="27"/>
              </w:rPr>
            </w:pPr>
            <w:r>
              <w:rPr>
                <w:color w:val="000000"/>
                <w:sz w:val="27"/>
                <w:szCs w:val="27"/>
              </w:rPr>
              <w:t>Tampo: confeccionado em chapa dura (fibra de eucalipto)</w:t>
            </w:r>
          </w:p>
          <w:p w14:paraId="7C6C3516">
            <w:pPr>
              <w:spacing w:before="1" w:line="257" w:lineRule="atLeast"/>
              <w:ind w:left="38" w:right="14"/>
              <w:rPr>
                <w:color w:val="000000"/>
                <w:sz w:val="27"/>
                <w:szCs w:val="27"/>
              </w:rPr>
            </w:pPr>
            <w:r>
              <w:rPr>
                <w:color w:val="000000"/>
                <w:sz w:val="27"/>
                <w:szCs w:val="27"/>
              </w:rPr>
              <w:t>decorado artisticamente em silkscreen dourado, SEM VISOR. Alças fixas pigmentada forrada internamente em papel branco. Travesseiro solto, acabamento externo na cor cerejeira, mogno ou marfim , com visor</w:t>
            </w:r>
          </w:p>
          <w:p w14:paraId="5E3D7956">
            <w:pPr>
              <w:spacing w:before="203"/>
              <w:rPr>
                <w:color w:val="000000"/>
                <w:sz w:val="27"/>
                <w:szCs w:val="27"/>
              </w:rPr>
            </w:pPr>
            <w:r>
              <w:rPr>
                <w:color w:val="000000"/>
                <w:sz w:val="27"/>
                <w:szCs w:val="27"/>
              </w:rPr>
              <w:t>- Medidas interna aproximadas: 2,00 X 0,70 X 0,42</w:t>
            </w:r>
          </w:p>
        </w:tc>
        <w:tc>
          <w:tcPr>
            <w:tcW w:w="1777" w:type="dxa"/>
            <w:tcBorders>
              <w:top w:val="nil"/>
              <w:left w:val="nil"/>
              <w:bottom w:val="single" w:color="auto" w:sz="8" w:space="0"/>
              <w:right w:val="single" w:color="auto" w:sz="8" w:space="0"/>
            </w:tcBorders>
            <w:tcMar>
              <w:top w:w="0" w:type="dxa"/>
              <w:left w:w="108" w:type="dxa"/>
              <w:bottom w:w="0" w:type="dxa"/>
              <w:right w:w="108" w:type="dxa"/>
            </w:tcMar>
          </w:tcPr>
          <w:p w14:paraId="7764CB41">
            <w:pPr>
              <w:spacing w:before="203"/>
              <w:rPr>
                <w:color w:val="000000"/>
                <w:sz w:val="27"/>
                <w:szCs w:val="27"/>
              </w:rPr>
            </w:pPr>
            <w:r>
              <w:rPr>
                <w:color w:val="000000"/>
                <w:sz w:val="27"/>
                <w:szCs w:val="27"/>
              </w:rPr>
              <w:t>Unidade</w:t>
            </w:r>
          </w:p>
        </w:tc>
        <w:tc>
          <w:tcPr>
            <w:tcW w:w="2062" w:type="dxa"/>
            <w:tcBorders>
              <w:top w:val="nil"/>
              <w:left w:val="nil"/>
              <w:bottom w:val="single" w:color="auto" w:sz="8" w:space="0"/>
              <w:right w:val="single" w:color="auto" w:sz="8" w:space="0"/>
            </w:tcBorders>
            <w:tcMar>
              <w:top w:w="0" w:type="dxa"/>
              <w:left w:w="108" w:type="dxa"/>
              <w:bottom w:w="0" w:type="dxa"/>
              <w:right w:w="108" w:type="dxa"/>
            </w:tcMar>
          </w:tcPr>
          <w:p w14:paraId="70D675D8">
            <w:pPr>
              <w:spacing w:before="203"/>
              <w:jc w:val="center"/>
              <w:rPr>
                <w:color w:val="000000"/>
                <w:sz w:val="27"/>
                <w:szCs w:val="27"/>
              </w:rPr>
            </w:pPr>
            <w:r>
              <w:rPr>
                <w:color w:val="000000"/>
                <w:sz w:val="27"/>
                <w:szCs w:val="27"/>
              </w:rPr>
              <w:t>6</w:t>
            </w:r>
          </w:p>
        </w:tc>
        <w:tc>
          <w:tcPr>
            <w:tcW w:w="1597" w:type="dxa"/>
            <w:tcBorders>
              <w:top w:val="nil"/>
              <w:left w:val="nil"/>
              <w:bottom w:val="single" w:color="auto" w:sz="8" w:space="0"/>
              <w:right w:val="single" w:color="auto" w:sz="8" w:space="0"/>
            </w:tcBorders>
            <w:tcMar>
              <w:top w:w="0" w:type="dxa"/>
              <w:left w:w="108" w:type="dxa"/>
              <w:bottom w:w="0" w:type="dxa"/>
              <w:right w:w="108" w:type="dxa"/>
            </w:tcMar>
          </w:tcPr>
          <w:p w14:paraId="6E73DBC6">
            <w:pPr>
              <w:spacing w:before="203"/>
              <w:rPr>
                <w:color w:val="000000"/>
                <w:sz w:val="27"/>
                <w:szCs w:val="27"/>
              </w:rPr>
            </w:pPr>
            <w:r>
              <w:rPr>
                <w:color w:val="000000"/>
                <w:sz w:val="27"/>
                <w:szCs w:val="27"/>
              </w:rPr>
              <w:t>R$ 1.780,00</w:t>
            </w:r>
          </w:p>
        </w:tc>
        <w:tc>
          <w:tcPr>
            <w:tcW w:w="1477" w:type="dxa"/>
            <w:tcBorders>
              <w:top w:val="nil"/>
              <w:left w:val="nil"/>
              <w:bottom w:val="single" w:color="auto" w:sz="8" w:space="0"/>
              <w:right w:val="single" w:color="auto" w:sz="8" w:space="0"/>
            </w:tcBorders>
            <w:tcMar>
              <w:top w:w="0" w:type="dxa"/>
              <w:left w:w="108" w:type="dxa"/>
              <w:bottom w:w="0" w:type="dxa"/>
              <w:right w:w="108" w:type="dxa"/>
            </w:tcMar>
          </w:tcPr>
          <w:p w14:paraId="6DC321F4">
            <w:pPr>
              <w:spacing w:before="203"/>
              <w:rPr>
                <w:color w:val="000000"/>
                <w:sz w:val="27"/>
                <w:szCs w:val="27"/>
              </w:rPr>
            </w:pPr>
            <w:r>
              <w:rPr>
                <w:color w:val="000000"/>
                <w:sz w:val="27"/>
                <w:szCs w:val="27"/>
              </w:rPr>
              <w:t>R$ 10.680,00</w:t>
            </w:r>
          </w:p>
        </w:tc>
      </w:tr>
      <w:tr w14:paraId="6CAD7872">
        <w:tblPrEx>
          <w:tblCellMar>
            <w:top w:w="0" w:type="dxa"/>
            <w:left w:w="0" w:type="dxa"/>
            <w:bottom w:w="0" w:type="dxa"/>
            <w:right w:w="0" w:type="dxa"/>
          </w:tblCellMar>
        </w:tblPrEx>
        <w:tc>
          <w:tcPr>
            <w:tcW w:w="1018" w:type="dxa"/>
            <w:tcBorders>
              <w:top w:val="nil"/>
              <w:left w:val="single" w:color="auto" w:sz="8" w:space="0"/>
              <w:bottom w:val="single" w:color="auto" w:sz="8" w:space="0"/>
              <w:right w:val="single" w:color="auto" w:sz="8" w:space="0"/>
            </w:tcBorders>
            <w:tcMar>
              <w:top w:w="0" w:type="dxa"/>
              <w:left w:w="108" w:type="dxa"/>
              <w:bottom w:w="0" w:type="dxa"/>
              <w:right w:w="108" w:type="dxa"/>
            </w:tcMar>
          </w:tcPr>
          <w:p w14:paraId="32BBF941">
            <w:pPr>
              <w:spacing w:before="203"/>
              <w:jc w:val="center"/>
              <w:rPr>
                <w:color w:val="000000"/>
                <w:sz w:val="27"/>
                <w:szCs w:val="27"/>
              </w:rPr>
            </w:pPr>
            <w:r>
              <w:rPr>
                <w:color w:val="000000"/>
                <w:sz w:val="27"/>
                <w:szCs w:val="27"/>
              </w:rPr>
              <w:t>9</w:t>
            </w:r>
          </w:p>
        </w:tc>
        <w:tc>
          <w:tcPr>
            <w:tcW w:w="2780" w:type="dxa"/>
            <w:tcBorders>
              <w:top w:val="nil"/>
              <w:left w:val="nil"/>
              <w:bottom w:val="single" w:color="auto" w:sz="8" w:space="0"/>
              <w:right w:val="single" w:color="auto" w:sz="8" w:space="0"/>
            </w:tcBorders>
            <w:tcMar>
              <w:top w:w="0" w:type="dxa"/>
              <w:left w:w="108" w:type="dxa"/>
              <w:bottom w:w="0" w:type="dxa"/>
              <w:right w:w="108" w:type="dxa"/>
            </w:tcMar>
          </w:tcPr>
          <w:p w14:paraId="7055F8F8">
            <w:pPr>
              <w:spacing w:after="100" w:afterAutospacing="1" w:line="260" w:lineRule="atLeast"/>
              <w:ind w:left="38"/>
              <w:rPr>
                <w:color w:val="000000"/>
                <w:sz w:val="27"/>
                <w:szCs w:val="27"/>
              </w:rPr>
            </w:pPr>
            <w:r>
              <w:rPr>
                <w:b/>
                <w:bCs/>
                <w:color w:val="000000"/>
                <w:sz w:val="27"/>
                <w:szCs w:val="27"/>
              </w:rPr>
              <w:t>URNA MORTUÁRIA SUPER GORDA GC – MADEIRA</w:t>
            </w:r>
          </w:p>
          <w:p w14:paraId="2D3D3170">
            <w:pPr>
              <w:spacing w:before="22" w:line="257" w:lineRule="atLeast"/>
              <w:ind w:left="38" w:right="14"/>
              <w:rPr>
                <w:color w:val="000000"/>
                <w:sz w:val="27"/>
                <w:szCs w:val="27"/>
              </w:rPr>
            </w:pPr>
            <w:r>
              <w:rPr>
                <w:color w:val="000000"/>
                <w:sz w:val="27"/>
                <w:szCs w:val="27"/>
              </w:rPr>
              <w:t>Modelo: SEXTAVADO – Caixa: confeccionada em madeira de pinus, fundo misto em madeira e chapa dura de alta resistência colado e grampeado, bordada em relevo nas laterais. Tampa: confeccionada em madeira de pinus bordadas nas laterais, com encaixes e guias, com 4 chavetas para seu fechamento.</w:t>
            </w:r>
          </w:p>
          <w:p w14:paraId="1F9E6C88">
            <w:pPr>
              <w:spacing w:before="2" w:line="257" w:lineRule="atLeast"/>
              <w:ind w:left="38" w:right="14"/>
              <w:rPr>
                <w:color w:val="000000"/>
                <w:sz w:val="27"/>
                <w:szCs w:val="27"/>
              </w:rPr>
            </w:pPr>
            <w:r>
              <w:rPr>
                <w:color w:val="000000"/>
                <w:sz w:val="27"/>
                <w:szCs w:val="27"/>
              </w:rPr>
              <w:t>Tampo: confeccionado em chapa dura (fibra de eucalipto)</w:t>
            </w:r>
          </w:p>
          <w:p w14:paraId="1BB664E4">
            <w:pPr>
              <w:spacing w:before="1" w:line="257" w:lineRule="atLeast"/>
              <w:ind w:left="38" w:right="14"/>
              <w:rPr>
                <w:color w:val="000000"/>
                <w:sz w:val="27"/>
                <w:szCs w:val="27"/>
              </w:rPr>
            </w:pPr>
            <w:r>
              <w:rPr>
                <w:color w:val="000000"/>
                <w:sz w:val="27"/>
                <w:szCs w:val="27"/>
              </w:rPr>
              <w:t>decorado artisticamente em silkscreen dourado, SEM VISOR. Alças fixas pigmentada forrada internamente em papel branco. Travesseiro solto, acabamento externo na cor cerejeira, mogno ou marfim , com visor</w:t>
            </w:r>
          </w:p>
          <w:p w14:paraId="3F493D3E">
            <w:pPr>
              <w:spacing w:before="203"/>
              <w:rPr>
                <w:color w:val="000000"/>
                <w:sz w:val="27"/>
                <w:szCs w:val="27"/>
              </w:rPr>
            </w:pPr>
            <w:r>
              <w:rPr>
                <w:color w:val="000000"/>
                <w:sz w:val="27"/>
                <w:szCs w:val="27"/>
              </w:rPr>
              <w:t>- Medidas interna aproximadas: 2,07 X 0,65 X 0,32</w:t>
            </w:r>
          </w:p>
        </w:tc>
        <w:tc>
          <w:tcPr>
            <w:tcW w:w="1777" w:type="dxa"/>
            <w:tcBorders>
              <w:top w:val="nil"/>
              <w:left w:val="nil"/>
              <w:bottom w:val="single" w:color="auto" w:sz="8" w:space="0"/>
              <w:right w:val="single" w:color="auto" w:sz="8" w:space="0"/>
            </w:tcBorders>
            <w:tcMar>
              <w:top w:w="0" w:type="dxa"/>
              <w:left w:w="108" w:type="dxa"/>
              <w:bottom w:w="0" w:type="dxa"/>
              <w:right w:w="108" w:type="dxa"/>
            </w:tcMar>
          </w:tcPr>
          <w:p w14:paraId="77BF5920">
            <w:pPr>
              <w:spacing w:before="203"/>
              <w:rPr>
                <w:color w:val="000000"/>
                <w:sz w:val="27"/>
                <w:szCs w:val="27"/>
              </w:rPr>
            </w:pPr>
            <w:r>
              <w:rPr>
                <w:color w:val="000000"/>
                <w:sz w:val="27"/>
                <w:szCs w:val="27"/>
              </w:rPr>
              <w:t>Unidade</w:t>
            </w:r>
          </w:p>
        </w:tc>
        <w:tc>
          <w:tcPr>
            <w:tcW w:w="2062" w:type="dxa"/>
            <w:tcBorders>
              <w:top w:val="nil"/>
              <w:left w:val="nil"/>
              <w:bottom w:val="single" w:color="auto" w:sz="8" w:space="0"/>
              <w:right w:val="single" w:color="auto" w:sz="8" w:space="0"/>
            </w:tcBorders>
            <w:tcMar>
              <w:top w:w="0" w:type="dxa"/>
              <w:left w:w="108" w:type="dxa"/>
              <w:bottom w:w="0" w:type="dxa"/>
              <w:right w:w="108" w:type="dxa"/>
            </w:tcMar>
          </w:tcPr>
          <w:p w14:paraId="02CB0628">
            <w:pPr>
              <w:spacing w:before="203"/>
              <w:jc w:val="center"/>
              <w:rPr>
                <w:color w:val="000000"/>
                <w:sz w:val="27"/>
                <w:szCs w:val="27"/>
              </w:rPr>
            </w:pPr>
            <w:r>
              <w:rPr>
                <w:color w:val="000000"/>
                <w:sz w:val="27"/>
                <w:szCs w:val="27"/>
              </w:rPr>
              <w:t>6</w:t>
            </w:r>
          </w:p>
        </w:tc>
        <w:tc>
          <w:tcPr>
            <w:tcW w:w="1597" w:type="dxa"/>
            <w:tcBorders>
              <w:top w:val="nil"/>
              <w:left w:val="nil"/>
              <w:bottom w:val="single" w:color="auto" w:sz="8" w:space="0"/>
              <w:right w:val="single" w:color="auto" w:sz="8" w:space="0"/>
            </w:tcBorders>
            <w:tcMar>
              <w:top w:w="0" w:type="dxa"/>
              <w:left w:w="108" w:type="dxa"/>
              <w:bottom w:w="0" w:type="dxa"/>
              <w:right w:w="108" w:type="dxa"/>
            </w:tcMar>
          </w:tcPr>
          <w:p w14:paraId="41B7E4CD">
            <w:pPr>
              <w:spacing w:before="203"/>
              <w:rPr>
                <w:color w:val="000000"/>
                <w:sz w:val="27"/>
                <w:szCs w:val="27"/>
              </w:rPr>
            </w:pPr>
            <w:r>
              <w:rPr>
                <w:color w:val="000000"/>
                <w:sz w:val="27"/>
                <w:szCs w:val="27"/>
              </w:rPr>
              <w:t>R$ 1.500,00</w:t>
            </w:r>
          </w:p>
        </w:tc>
        <w:tc>
          <w:tcPr>
            <w:tcW w:w="1477" w:type="dxa"/>
            <w:tcBorders>
              <w:top w:val="nil"/>
              <w:left w:val="nil"/>
              <w:bottom w:val="single" w:color="auto" w:sz="8" w:space="0"/>
              <w:right w:val="single" w:color="auto" w:sz="8" w:space="0"/>
            </w:tcBorders>
            <w:tcMar>
              <w:top w:w="0" w:type="dxa"/>
              <w:left w:w="108" w:type="dxa"/>
              <w:bottom w:w="0" w:type="dxa"/>
              <w:right w:w="108" w:type="dxa"/>
            </w:tcMar>
          </w:tcPr>
          <w:p w14:paraId="46D17620">
            <w:pPr>
              <w:spacing w:before="203"/>
              <w:rPr>
                <w:color w:val="000000"/>
                <w:sz w:val="27"/>
                <w:szCs w:val="27"/>
              </w:rPr>
            </w:pPr>
            <w:r>
              <w:rPr>
                <w:color w:val="000000"/>
                <w:sz w:val="27"/>
                <w:szCs w:val="27"/>
              </w:rPr>
              <w:t>R$ 9.000,00</w:t>
            </w:r>
          </w:p>
        </w:tc>
      </w:tr>
      <w:tr w14:paraId="0E8B96FE">
        <w:tblPrEx>
          <w:tblCellMar>
            <w:top w:w="0" w:type="dxa"/>
            <w:left w:w="0" w:type="dxa"/>
            <w:bottom w:w="0" w:type="dxa"/>
            <w:right w:w="0" w:type="dxa"/>
          </w:tblCellMar>
        </w:tblPrEx>
        <w:tc>
          <w:tcPr>
            <w:tcW w:w="9234" w:type="dxa"/>
            <w:gridSpan w:val="5"/>
            <w:tcBorders>
              <w:top w:val="nil"/>
              <w:left w:val="single" w:color="auto" w:sz="8" w:space="0"/>
              <w:bottom w:val="single" w:color="auto" w:sz="8" w:space="0"/>
              <w:right w:val="single" w:color="auto" w:sz="8" w:space="0"/>
            </w:tcBorders>
            <w:tcMar>
              <w:top w:w="0" w:type="dxa"/>
              <w:left w:w="108" w:type="dxa"/>
              <w:bottom w:w="0" w:type="dxa"/>
              <w:right w:w="108" w:type="dxa"/>
            </w:tcMar>
          </w:tcPr>
          <w:p w14:paraId="55F2B0EA">
            <w:pPr>
              <w:spacing w:before="203"/>
              <w:jc w:val="right"/>
              <w:rPr>
                <w:color w:val="000000"/>
                <w:sz w:val="27"/>
                <w:szCs w:val="27"/>
              </w:rPr>
            </w:pPr>
            <w:r>
              <w:rPr>
                <w:b/>
                <w:bCs/>
                <w:color w:val="000000"/>
                <w:sz w:val="27"/>
                <w:szCs w:val="27"/>
              </w:rPr>
              <w:t>TOTAL</w:t>
            </w:r>
          </w:p>
        </w:tc>
        <w:tc>
          <w:tcPr>
            <w:tcW w:w="1477" w:type="dxa"/>
            <w:tcBorders>
              <w:top w:val="nil"/>
              <w:left w:val="nil"/>
              <w:bottom w:val="single" w:color="auto" w:sz="8" w:space="0"/>
              <w:right w:val="single" w:color="auto" w:sz="8" w:space="0"/>
            </w:tcBorders>
            <w:tcMar>
              <w:top w:w="0" w:type="dxa"/>
              <w:left w:w="108" w:type="dxa"/>
              <w:bottom w:w="0" w:type="dxa"/>
              <w:right w:w="108" w:type="dxa"/>
            </w:tcMar>
          </w:tcPr>
          <w:p w14:paraId="5A79D274">
            <w:pPr>
              <w:spacing w:before="203"/>
              <w:rPr>
                <w:color w:val="000000"/>
                <w:sz w:val="27"/>
                <w:szCs w:val="27"/>
              </w:rPr>
            </w:pPr>
            <w:r>
              <w:rPr>
                <w:color w:val="000000"/>
                <w:sz w:val="27"/>
                <w:szCs w:val="27"/>
              </w:rPr>
              <w:t>R$ 168.200,00</w:t>
            </w:r>
          </w:p>
        </w:tc>
      </w:tr>
    </w:tbl>
    <w:p w14:paraId="0DE1A14F">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42545DE4">
      <w:pPr>
        <w:pStyle w:val="83"/>
        <w:spacing w:before="288" w:beforeLines="120" w:after="288" w:afterLines="120" w:line="288" w:lineRule="auto"/>
        <w:ind w:left="0" w:firstLine="0"/>
        <w:contextualSpacing/>
        <w:rPr>
          <w:rFonts w:ascii="Times New Roman" w:hAnsi="Times New Roman" w:cs="Times New Roman"/>
          <w:b/>
          <w:bCs/>
          <w:color w:val="auto"/>
          <w:sz w:val="24"/>
          <w:szCs w:val="24"/>
        </w:rPr>
      </w:pPr>
      <w:r>
        <w:rPr>
          <w:rFonts w:ascii="Times New Roman" w:hAnsi="Times New Roman" w:cs="Times New Roman"/>
          <w:b/>
          <w:bCs/>
          <w:color w:val="auto"/>
          <w:sz w:val="24"/>
          <w:szCs w:val="24"/>
        </w:rPr>
        <w:t>2. DO REGISTRO DE PREÇOS</w:t>
      </w:r>
    </w:p>
    <w:p w14:paraId="39A2BB17">
      <w:pPr>
        <w:pStyle w:val="19"/>
        <w:spacing w:before="0" w:beforeAutospacing="0" w:after="0" w:afterAutospacing="0" w:line="288" w:lineRule="auto"/>
        <w:contextualSpacing/>
        <w:jc w:val="both"/>
        <w:rPr>
          <w:color w:val="000000"/>
        </w:rPr>
      </w:pPr>
      <w:r>
        <w:rPr>
          <w:color w:val="000000"/>
        </w:rPr>
        <w:t>2.1 O órgão/entidade gerenciador(a) e o(s) órgão(s)/entidade(s) participante(s), ora em diante, serão denominados gerenciador e participantes, respectivamente.</w:t>
      </w:r>
    </w:p>
    <w:p w14:paraId="614E9D3E">
      <w:pPr>
        <w:pStyle w:val="19"/>
        <w:spacing w:before="0" w:beforeAutospacing="0" w:after="0" w:afterAutospacing="0" w:line="288" w:lineRule="auto"/>
        <w:contextualSpacing/>
        <w:jc w:val="both"/>
        <w:rPr>
          <w:color w:val="000000"/>
        </w:rPr>
      </w:pPr>
      <w:r>
        <w:rPr>
          <w:color w:val="000000"/>
        </w:rPr>
        <w:t> </w:t>
      </w:r>
    </w:p>
    <w:p w14:paraId="2A372680">
      <w:pPr>
        <w:pStyle w:val="19"/>
        <w:spacing w:before="0" w:beforeAutospacing="0" w:after="0" w:afterAutospacing="0" w:line="288" w:lineRule="auto"/>
        <w:contextualSpacing/>
        <w:jc w:val="both"/>
        <w:rPr>
          <w:color w:val="000000"/>
        </w:rPr>
      </w:pPr>
      <w:r>
        <w:rPr>
          <w:color w:val="000000"/>
        </w:rPr>
        <w:t>2.1.2 Aplicam-se ao gerenciador e aos participantes, quando houver, as regras estabelecidas no Termo de Referência, na Ata de Registro de Preços e nos demais anexos a este Edital, que devem ser observadas, também, no que se refere às quantidades, prazos e locais de entrega e demais obrigações. ​</w:t>
      </w:r>
    </w:p>
    <w:p w14:paraId="20CCC75B">
      <w:pPr>
        <w:autoSpaceDE w:val="0"/>
        <w:autoSpaceDN w:val="0"/>
        <w:adjustRightInd w:val="0"/>
        <w:spacing w:line="288" w:lineRule="auto"/>
        <w:contextualSpacing/>
        <w:jc w:val="both"/>
        <w:rPr>
          <w:b/>
          <w:color w:val="FF0000"/>
          <w:sz w:val="24"/>
          <w:szCs w:val="24"/>
        </w:rPr>
      </w:pPr>
    </w:p>
    <w:p w14:paraId="6B08B324">
      <w:pPr>
        <w:autoSpaceDE w:val="0"/>
        <w:autoSpaceDN w:val="0"/>
        <w:adjustRightInd w:val="0"/>
        <w:spacing w:line="288" w:lineRule="auto"/>
        <w:contextualSpacing/>
        <w:jc w:val="both"/>
        <w:rPr>
          <w:bCs/>
          <w:sz w:val="24"/>
          <w:szCs w:val="24"/>
        </w:rPr>
      </w:pPr>
      <w:r>
        <w:rPr>
          <w:bCs/>
          <w:sz w:val="24"/>
          <w:szCs w:val="24"/>
        </w:rPr>
        <w:t xml:space="preserve">2.2 A Ata de Registro de Preços conforme Anexo VI, poderá ser aderida por quaisquer órgãos ou entidades do Município que não tenham participado do certame licitatório, ora denominados não-participantes.  </w:t>
      </w:r>
    </w:p>
    <w:p w14:paraId="47CD580D">
      <w:pPr>
        <w:autoSpaceDE w:val="0"/>
        <w:autoSpaceDN w:val="0"/>
        <w:adjustRightInd w:val="0"/>
        <w:spacing w:line="288" w:lineRule="auto"/>
        <w:contextualSpacing/>
        <w:jc w:val="both"/>
        <w:rPr>
          <w:bCs/>
          <w:sz w:val="24"/>
          <w:szCs w:val="24"/>
        </w:rPr>
      </w:pPr>
    </w:p>
    <w:p w14:paraId="2BB7BAD3">
      <w:pPr>
        <w:autoSpaceDE w:val="0"/>
        <w:autoSpaceDN w:val="0"/>
        <w:adjustRightInd w:val="0"/>
        <w:spacing w:line="288" w:lineRule="auto"/>
        <w:contextualSpacing/>
        <w:jc w:val="both"/>
        <w:rPr>
          <w:bCs/>
          <w:sz w:val="24"/>
          <w:szCs w:val="24"/>
        </w:rPr>
      </w:pPr>
      <w:r>
        <w:rPr>
          <w:bCs/>
          <w:sz w:val="24"/>
          <w:szCs w:val="24"/>
        </w:rPr>
        <w:t xml:space="preserve">2.2.1 Podem também ser considerados não-participantes os órgãos ou entidades municipais, distritais, de outros Estados e federais, resguardadas as disposições de cada ente, desde que atendidas as condições do presente Edital e da Ata de Registro de Preços. </w:t>
      </w:r>
    </w:p>
    <w:p w14:paraId="768EFE7C">
      <w:pPr>
        <w:autoSpaceDE w:val="0"/>
        <w:autoSpaceDN w:val="0"/>
        <w:adjustRightInd w:val="0"/>
        <w:spacing w:line="288" w:lineRule="auto"/>
        <w:contextualSpacing/>
        <w:jc w:val="both"/>
        <w:rPr>
          <w:bCs/>
          <w:color w:val="231F20"/>
          <w:sz w:val="24"/>
          <w:szCs w:val="24"/>
        </w:rPr>
      </w:pPr>
    </w:p>
    <w:p w14:paraId="5C20F92F">
      <w:pPr>
        <w:autoSpaceDE w:val="0"/>
        <w:autoSpaceDN w:val="0"/>
        <w:adjustRightInd w:val="0"/>
        <w:spacing w:line="288" w:lineRule="auto"/>
        <w:contextualSpacing/>
        <w:jc w:val="both"/>
        <w:rPr>
          <w:bCs/>
          <w:sz w:val="24"/>
          <w:szCs w:val="24"/>
        </w:rPr>
      </w:pPr>
      <w:r>
        <w:rPr>
          <w:bCs/>
          <w:color w:val="231F20"/>
          <w:sz w:val="24"/>
          <w:szCs w:val="24"/>
        </w:rPr>
        <w:t>2.3 S</w:t>
      </w:r>
      <w:r>
        <w:rPr>
          <w:bCs/>
          <w:sz w:val="24"/>
          <w:szCs w:val="24"/>
        </w:rPr>
        <w:t xml:space="preserve">ão as seguintes as quantidades estimadas para a contratação, conforme descrição no Termo de Referência: </w:t>
      </w:r>
    </w:p>
    <w:p w14:paraId="696FC176">
      <w:pPr>
        <w:pStyle w:val="83"/>
        <w:spacing w:before="288" w:beforeLines="120" w:after="288" w:afterLines="120" w:line="288" w:lineRule="auto"/>
        <w:ind w:left="0" w:hanging="7"/>
        <w:contextualSpacing/>
        <w:rPr>
          <w:rFonts w:ascii="Times New Roman" w:hAnsi="Times New Roman" w:cs="Times New Roman"/>
          <w:bCs/>
          <w:color w:val="auto"/>
          <w:sz w:val="24"/>
          <w:szCs w:val="24"/>
        </w:rPr>
      </w:pPr>
      <w:r>
        <w:rPr>
          <w:rFonts w:ascii="Times New Roman" w:hAnsi="Times New Roman" w:cs="Times New Roman"/>
          <w:bCs/>
          <w:color w:val="auto"/>
          <w:sz w:val="24"/>
          <w:szCs w:val="24"/>
        </w:rPr>
        <w:t xml:space="preserve">2.3.2.1 As contratações adicionais pelos não-participantes não poderão exceder, por órgão ou entidade, a 200 % (duzentos por cento) dos quantitativos dos itens registrados na Ata de Registro de Preços para o gerenciador e para os participantes, quando houver. </w:t>
      </w:r>
    </w:p>
    <w:p w14:paraId="7F5DAAA6">
      <w:pPr>
        <w:pStyle w:val="83"/>
        <w:spacing w:before="288" w:beforeLines="120" w:after="288" w:afterLines="120" w:line="288" w:lineRule="auto"/>
        <w:ind w:left="0" w:hanging="7"/>
        <w:contextualSpacing/>
        <w:rPr>
          <w:rFonts w:ascii="Times New Roman" w:hAnsi="Times New Roman" w:cs="Times New Roman"/>
          <w:bCs/>
          <w:color w:val="auto"/>
          <w:sz w:val="24"/>
          <w:szCs w:val="24"/>
        </w:rPr>
      </w:pPr>
    </w:p>
    <w:p w14:paraId="476899E4">
      <w:pPr>
        <w:pStyle w:val="83"/>
        <w:spacing w:before="288" w:beforeLines="120" w:after="288" w:afterLines="120" w:line="288" w:lineRule="auto"/>
        <w:ind w:left="0" w:hanging="7"/>
        <w:contextualSpacing/>
        <w:rPr>
          <w:rFonts w:ascii="Times New Roman" w:hAnsi="Times New Roman" w:cs="Times New Roman"/>
          <w:bCs/>
          <w:color w:val="auto"/>
          <w:sz w:val="24"/>
          <w:szCs w:val="24"/>
        </w:rPr>
      </w:pPr>
      <w:r>
        <w:rPr>
          <w:rFonts w:ascii="Times New Roman" w:hAnsi="Times New Roman" w:cs="Times New Roman"/>
          <w:bCs/>
          <w:color w:val="auto"/>
          <w:sz w:val="24"/>
          <w:szCs w:val="24"/>
        </w:rPr>
        <w:t>2.3.2.2 O quantitativo decorrente das adesões à Ata de Registro de Preços não poderá exceder, na totalidade, ao limite de 200 % ( duzentos</w:t>
      </w:r>
      <w:r>
        <w:rPr>
          <w:rFonts w:ascii="Times New Roman" w:hAnsi="Times New Roman" w:cs="Times New Roman"/>
          <w:bCs/>
          <w:color w:val="FF0000"/>
          <w:sz w:val="24"/>
          <w:szCs w:val="24"/>
        </w:rPr>
        <w:t xml:space="preserve"> </w:t>
      </w:r>
      <w:r>
        <w:rPr>
          <w:rFonts w:ascii="Times New Roman" w:hAnsi="Times New Roman" w:cs="Times New Roman"/>
          <w:bCs/>
          <w:color w:val="auto"/>
          <w:sz w:val="24"/>
          <w:szCs w:val="24"/>
        </w:rPr>
        <w:t>por cento) do quantitativo de cada item registrado na Ata para o gerenciador e para os participantes, quando houver, independentemente do número de órgãos ou entidades não-participantes que aderirem.</w:t>
      </w:r>
    </w:p>
    <w:p w14:paraId="40FDD11E">
      <w:pPr>
        <w:pStyle w:val="83"/>
        <w:spacing w:before="288" w:beforeLines="120" w:after="288" w:afterLines="120" w:line="288" w:lineRule="auto"/>
        <w:ind w:left="0" w:firstLine="0"/>
        <w:contextualSpacing/>
        <w:rPr>
          <w:rFonts w:ascii="Times New Roman" w:hAnsi="Times New Roman" w:cs="Times New Roman"/>
          <w:bCs/>
          <w:color w:val="auto"/>
          <w:sz w:val="24"/>
          <w:szCs w:val="24"/>
        </w:rPr>
      </w:pPr>
    </w:p>
    <w:p w14:paraId="644C352D">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2.4 É vedada a participação do órgão ou da entidade em mais de uma Ata de Registro de Preços com o mesmo objeto no prazo de validade daquela de que já tiver participado, salvo na ocorrência de ata que tenha registrado quantitativo inferior ao máximo previsto no edital da licitação.</w:t>
      </w:r>
    </w:p>
    <w:p w14:paraId="455A4532">
      <w:pPr>
        <w:pStyle w:val="83"/>
        <w:spacing w:before="288" w:beforeLines="120" w:after="288" w:afterLines="120" w:line="288" w:lineRule="auto"/>
        <w:ind w:left="0" w:firstLine="0"/>
        <w:contextualSpacing/>
        <w:rPr>
          <w:rFonts w:ascii="Times New Roman" w:hAnsi="Times New Roman" w:cs="Times New Roman"/>
          <w:sz w:val="24"/>
          <w:szCs w:val="24"/>
        </w:rPr>
      </w:pPr>
    </w:p>
    <w:p w14:paraId="2B349E18">
      <w:pPr>
        <w:pStyle w:val="83"/>
        <w:spacing w:before="288" w:beforeLines="120" w:after="288" w:afterLines="120" w:line="288" w:lineRule="auto"/>
        <w:ind w:left="0" w:firstLine="0"/>
        <w:contextualSpacing/>
        <w:rPr>
          <w:rFonts w:ascii="Times New Roman" w:hAnsi="Times New Roman" w:cs="Times New Roman"/>
          <w:b/>
          <w:bCs/>
          <w:color w:val="auto"/>
          <w:sz w:val="24"/>
          <w:szCs w:val="24"/>
        </w:rPr>
      </w:pPr>
      <w:r>
        <w:rPr>
          <w:rFonts w:ascii="Times New Roman" w:hAnsi="Times New Roman" w:cs="Times New Roman"/>
          <w:b/>
          <w:bCs/>
          <w:color w:val="auto"/>
          <w:sz w:val="24"/>
          <w:szCs w:val="24"/>
        </w:rPr>
        <w:t>3. DA PARTICIPAÇÃO NA LICITAÇÃO</w:t>
      </w:r>
    </w:p>
    <w:p w14:paraId="1CA1DA95">
      <w:pPr>
        <w:pStyle w:val="86"/>
        <w:spacing w:before="288" w:beforeLines="120" w:after="288" w:afterLines="120"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3.1 Poderão participar deste Pregão os interessados que estiverem previamente credenciados no Sistema de Cadastramento Unificado de Fornecedores - SICAF e no sistema de compras do governo federal (</w:t>
      </w:r>
      <w:r>
        <w:fldChar w:fldCharType="begin"/>
      </w:r>
      <w:r>
        <w:instrText xml:space="preserve"> HYPERLINK "http://www.gov.br/compras" </w:instrText>
      </w:r>
      <w:r>
        <w:fldChar w:fldCharType="separate"/>
      </w:r>
      <w:r>
        <w:rPr>
          <w:rStyle w:val="14"/>
          <w:rFonts w:ascii="Times New Roman" w:hAnsi="Times New Roman" w:cs="Times New Roman" w:eastAsiaTheme="minorHAnsi"/>
          <w:color w:val="auto"/>
          <w:sz w:val="24"/>
          <w:szCs w:val="24"/>
        </w:rPr>
        <w:t>www.gov.br/compras</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por meio de Certificado Digital conferido pela Infraestrutura de Chaves Públicas Brasileira – ICP – Brasil.</w:t>
      </w:r>
    </w:p>
    <w:p w14:paraId="084B5422">
      <w:pPr>
        <w:pStyle w:val="86"/>
        <w:spacing w:before="288" w:beforeLines="120" w:after="288" w:afterLines="120" w:line="288" w:lineRule="auto"/>
        <w:ind w:left="567" w:right="565" w:firstLine="0"/>
        <w:contextualSpacing/>
        <w:rPr>
          <w:rFonts w:ascii="Times New Roman" w:hAnsi="Times New Roman" w:cs="Times New Roman"/>
          <w:color w:val="auto"/>
          <w:sz w:val="24"/>
          <w:szCs w:val="24"/>
        </w:rPr>
      </w:pPr>
    </w:p>
    <w:p w14:paraId="4CE75333">
      <w:pPr>
        <w:pStyle w:val="86"/>
        <w:spacing w:before="288" w:beforeLines="120" w:after="288" w:afterLines="120" w:line="288" w:lineRule="auto"/>
        <w:ind w:left="0"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3.1.1 Os interessados deverão atender às condições exigidas no cadastramento no SICAF até o terceiro dia útil anterior à data prevista para recebimento das propostas.</w:t>
      </w:r>
    </w:p>
    <w:p w14:paraId="616FA3DE">
      <w:pPr>
        <w:pStyle w:val="86"/>
        <w:spacing w:before="288" w:beforeLines="120" w:after="288" w:afterLines="120" w:line="288" w:lineRule="auto"/>
        <w:ind w:left="567" w:right="565" w:firstLine="0"/>
        <w:contextualSpacing/>
        <w:rPr>
          <w:rFonts w:ascii="Times New Roman" w:hAnsi="Times New Roman" w:eastAsia="Calibri" w:cs="Times New Roman"/>
          <w:sz w:val="24"/>
          <w:szCs w:val="24"/>
          <w:lang w:eastAsia="en-US"/>
        </w:rPr>
      </w:pPr>
    </w:p>
    <w:p w14:paraId="12EE5B69">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eastAsia="Calibri" w:cs="Times New Roman"/>
          <w:sz w:val="24"/>
          <w:szCs w:val="24"/>
          <w:lang w:eastAsia="en-US"/>
        </w:rPr>
        <w:t xml:space="preserve">3.1.2 </w:t>
      </w:r>
      <w:r>
        <w:rPr>
          <w:rFonts w:ascii="Times New Roman" w:hAnsi="Times New Roman" w:cs="Times New Roman"/>
          <w:sz w:val="24"/>
          <w:szCs w:val="24"/>
        </w:rPr>
        <w:t xml:space="preserve">O procedimento será divulgado </w:t>
      </w:r>
      <w:r>
        <w:rPr>
          <w:rFonts w:ascii="Times New Roman" w:hAnsi="Times New Roman" w:cs="Times New Roman"/>
          <w:color w:val="auto"/>
          <w:sz w:val="24"/>
          <w:szCs w:val="24"/>
        </w:rPr>
        <w:t>no sítio eletrônico mencionado no item 3.1</w:t>
      </w:r>
      <w:r>
        <w:rPr>
          <w:rFonts w:ascii="Times New Roman" w:hAnsi="Times New Roman" w:cs="Times New Roman"/>
          <w:color w:val="FF0000"/>
          <w:sz w:val="24"/>
          <w:szCs w:val="24"/>
        </w:rPr>
        <w:t xml:space="preserve"> </w:t>
      </w:r>
      <w:r>
        <w:rPr>
          <w:rFonts w:ascii="Times New Roman" w:hAnsi="Times New Roman" w:cs="Times New Roman"/>
          <w:sz w:val="24"/>
          <w:szCs w:val="24"/>
        </w:rPr>
        <w:t>e no Portal Nacional de Contratações Públicas – PNCP.</w:t>
      </w:r>
      <w:r>
        <w:rPr>
          <w:rFonts w:ascii="Times New Roman" w:hAnsi="Times New Roman" w:cs="Times New Roman"/>
          <w:strike/>
          <w:sz w:val="24"/>
          <w:szCs w:val="24"/>
        </w:rPr>
        <w:t xml:space="preserve"> </w:t>
      </w:r>
    </w:p>
    <w:p w14:paraId="5D3583DD">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910A261">
      <w:pPr>
        <w:pStyle w:val="83"/>
        <w:spacing w:before="288" w:beforeLines="120" w:after="288" w:afterLines="120" w:line="288" w:lineRule="auto"/>
        <w:ind w:left="0" w:firstLine="0"/>
        <w:contextualSpacing/>
        <w:rPr>
          <w:rFonts w:ascii="Times New Roman" w:hAnsi="Times New Roman" w:eastAsia="Calibri" w:cs="Times New Roman"/>
          <w:sz w:val="24"/>
          <w:szCs w:val="24"/>
          <w:lang w:eastAsia="en-US"/>
        </w:rPr>
      </w:pPr>
    </w:p>
    <w:p w14:paraId="3E324F0F">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eastAsia="Calibri" w:cs="Times New Roman"/>
          <w:sz w:val="24"/>
          <w:szCs w:val="24"/>
          <w:lang w:eastAsia="en-US"/>
        </w:rPr>
        <w:t xml:space="preserve">3.3 </w:t>
      </w:r>
      <w:r>
        <w:rPr>
          <w:rFonts w:ascii="Times New Roman" w:hAnsi="Times New Roman" w:cs="Times New Roman"/>
          <w:color w:val="auto"/>
          <w:sz w:val="24"/>
          <w:szCs w:val="24"/>
        </w:rPr>
        <w:t>É de responsabilidade do cadastrado conferir a exatidão dos seus dados cadastrais nos Sistemas relacionados neste item 3 e mantê-los atualizados junto aos órgãos responsáveis pela informação, devendo proceder, imediatamente, à correção ou à alteração dos registros tão logo identifique incorreção ou aqueles se tornem desatualizados.</w:t>
      </w:r>
    </w:p>
    <w:p w14:paraId="2B0FDAE7">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53E847B9">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3.4 A não observância do disposto no item anterior poderá ensejar desclassificação no momento da habilitação.</w:t>
      </w:r>
    </w:p>
    <w:p w14:paraId="195ED3F5">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01355D85">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3.5 Para os itens 1, a participação é exclusiva a microempresas e empresas de pequeno porte, nos termos do </w:t>
      </w:r>
      <w:r>
        <w:fldChar w:fldCharType="begin"/>
      </w:r>
      <w:r>
        <w:instrText xml:space="preserve"> HYPERLINK "https://www.planalto.gov.br/ccivil_03/leis/lcp/lcp123.htm" </w:instrText>
      </w:r>
      <w:r>
        <w:fldChar w:fldCharType="separate"/>
      </w:r>
      <w:r>
        <w:rPr>
          <w:rStyle w:val="14"/>
          <w:rFonts w:ascii="Times New Roman" w:hAnsi="Times New Roman" w:cs="Times New Roman" w:eastAsiaTheme="minorHAnsi"/>
          <w:color w:val="auto"/>
          <w:sz w:val="24"/>
          <w:szCs w:val="24"/>
        </w:rPr>
        <w:t>art. 48 da Lei Complementar nº 123, de 14 de dezembro de 2006</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1236C1F2">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111457C1">
      <w:pPr>
        <w:pStyle w:val="83"/>
        <w:spacing w:before="288" w:beforeLines="120" w:after="288" w:afterLines="120" w:line="288" w:lineRule="auto"/>
        <w:ind w:left="0" w:right="-2" w:firstLine="0"/>
        <w:contextualSpacing/>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3.6 Será reservada cota de 25% (vinte e cinco por cento) para microempresas e empresas de pequeno porte, na forma do art. 48, III, da Lei Complementar n° 123/2006, e do art. 8º do Decreto n.º 42.063, de 06 de outubro de 2009.</w:t>
      </w:r>
    </w:p>
    <w:p w14:paraId="54774EE5">
      <w:pPr>
        <w:pStyle w:val="83"/>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p>
    <w:p w14:paraId="001A817C">
      <w:pPr>
        <w:pStyle w:val="83"/>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3.6.1 Na hipótese de não haver vencedor para a cota reservada, esta poderá ser adjudicada ao vencedor da cota principal ou, diante de sua recusa, aos licitantes remanescentes, desde que pratiquem o preço do primeiro colocado da cota principal.</w:t>
      </w:r>
    </w:p>
    <w:p w14:paraId="13E620CE">
      <w:pPr>
        <w:pStyle w:val="83"/>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p>
    <w:p w14:paraId="7E853F7F">
      <w:pPr>
        <w:pStyle w:val="83"/>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3.6.2 Se a mesma empresa vencer a cota reservada e a cota principal, a contratação das cotas deverá ocorrer pelo menor preço.</w:t>
      </w:r>
    </w:p>
    <w:p w14:paraId="58E1F057">
      <w:pPr>
        <w:pStyle w:val="83"/>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p>
    <w:p w14:paraId="6ECE19BC">
      <w:pPr>
        <w:pStyle w:val="83"/>
        <w:spacing w:before="288" w:beforeLines="120" w:after="288" w:afterLines="120" w:line="288" w:lineRule="auto"/>
        <w:ind w:left="0" w:right="-2" w:firstLine="0"/>
        <w:contextualSpacing/>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 xml:space="preserve">3.6.3 </w:t>
      </w:r>
      <w:r>
        <w:rPr>
          <w:rFonts w:ascii="Times New Roman" w:hAnsi="Times New Roman" w:eastAsia="Calibri" w:cs="Times New Roman"/>
          <w:color w:val="auto"/>
          <w:sz w:val="24"/>
          <w:szCs w:val="24"/>
          <w:lang w:eastAsia="en-US"/>
        </w:rPr>
        <w:tab/>
      </w:r>
      <w:r>
        <w:rPr>
          <w:rFonts w:ascii="Times New Roman" w:hAnsi="Times New Roman" w:eastAsia="Calibri" w:cs="Times New Roman"/>
          <w:color w:val="auto"/>
          <w:sz w:val="24"/>
          <w:szCs w:val="24"/>
          <w:lang w:eastAsia="en-US"/>
        </w:rPr>
        <w:t>Será dada prioridade de aquisição aos produtos das cotas reservadas quando forem adjudicados aos licitantes qualificados como microempresas ou empresas de pequeno porte, ressalvados os casos em que a cota reservada for inadequada para atender as quantidades ou as condições do pedido, nos termos Lei Municipal nº 2367 /2007  e Lei complementar Municipal nº 122/2009.</w:t>
      </w:r>
    </w:p>
    <w:p w14:paraId="49C9CBFC">
      <w:pPr>
        <w:pStyle w:val="83"/>
        <w:spacing w:before="288" w:beforeLines="120" w:after="288" w:afterLines="120" w:line="288" w:lineRule="auto"/>
        <w:ind w:left="0" w:firstLine="0"/>
        <w:contextualSpacing/>
        <w:rPr>
          <w:rFonts w:ascii="Times New Roman" w:hAnsi="Times New Roman" w:eastAsia="Calibri" w:cs="Times New Roman"/>
          <w:sz w:val="24"/>
          <w:szCs w:val="24"/>
          <w:lang w:eastAsia="en-US"/>
        </w:rPr>
      </w:pPr>
    </w:p>
    <w:p w14:paraId="5DA35BC9">
      <w:pPr>
        <w:pStyle w:val="83"/>
        <w:spacing w:before="288" w:beforeLines="120" w:after="288" w:afterLines="120" w:line="288" w:lineRule="auto"/>
        <w:ind w:left="0" w:right="-2" w:firstLine="0"/>
        <w:contextualSpacing/>
        <w:rPr>
          <w:rFonts w:ascii="Times New Roman" w:hAnsi="Times New Roman" w:eastAsia="Calibri" w:cs="Times New Roman"/>
          <w:color w:val="auto"/>
          <w:sz w:val="24"/>
          <w:szCs w:val="24"/>
          <w:lang w:eastAsia="en-US"/>
        </w:rPr>
      </w:pPr>
      <w:r>
        <w:rPr>
          <w:rFonts w:ascii="Times New Roman" w:hAnsi="Times New Roman" w:eastAsia="Calibri" w:cs="Times New Roman"/>
          <w:sz w:val="24"/>
          <w:szCs w:val="24"/>
          <w:lang w:eastAsia="en-US"/>
        </w:rPr>
        <w:t xml:space="preserve">3.7 </w:t>
      </w:r>
      <w:r>
        <w:rPr>
          <w:rFonts w:ascii="Times New Roman" w:hAnsi="Times New Roman" w:cs="Times New Roman"/>
          <w:color w:val="auto"/>
          <w:sz w:val="24"/>
          <w:szCs w:val="24"/>
        </w:rPr>
        <w:t xml:space="preserve">Será concedido o tratamento favorecido previsto nos arts. 42 a 49 da </w:t>
      </w:r>
      <w:r>
        <w:fldChar w:fldCharType="begin"/>
      </w:r>
      <w:r>
        <w:instrText xml:space="preserve"> HYPERLINK "https://www.planalto.gov.br/ccivil_03/leis/lcp/lcp123.htm" </w:instrText>
      </w:r>
      <w:r>
        <w:fldChar w:fldCharType="separate"/>
      </w:r>
      <w:r>
        <w:rPr>
          <w:rStyle w:val="14"/>
          <w:rFonts w:ascii="Times New Roman" w:hAnsi="Times New Roman" w:cs="Times New Roman" w:eastAsiaTheme="minorHAnsi"/>
          <w:color w:val="auto"/>
          <w:sz w:val="24"/>
          <w:szCs w:val="24"/>
        </w:rPr>
        <w:t>Lei Complementar nº 123/2006</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  Lei Municipal n° 2367/2027</w:t>
      </w:r>
      <w:r>
        <w:rPr>
          <w:rFonts w:ascii="Times New Roman" w:hAnsi="Times New Roman" w:eastAsia="Calibri" w:cs="Times New Roman"/>
          <w:color w:val="auto"/>
          <w:sz w:val="24"/>
          <w:szCs w:val="24"/>
          <w:lang w:eastAsia="en-US"/>
        </w:rPr>
        <w:t xml:space="preserve"> e Lei complementar Municipal nº 122/2009.</w:t>
      </w:r>
    </w:p>
    <w:p w14:paraId="5F0514AB">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para as microempresas e empresas de pequeno porte, para o agricultor familiar, o produtor rural pessoa física e para o microempreendedor individual - MEI.</w:t>
      </w:r>
      <w:bookmarkStart w:id="0" w:name="_Ref117015508"/>
    </w:p>
    <w:p w14:paraId="60F6DE7A">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79C1DFE9">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3.7.1 A obtenção dos benefícios a que se referem os arts. 42 a 49 da Lei Complementar nº 123/2006,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0"/>
    </w:p>
    <w:p w14:paraId="1DB7D593">
      <w:pPr>
        <w:tabs>
          <w:tab w:val="left" w:pos="1440"/>
        </w:tabs>
        <w:autoSpaceDE w:val="0"/>
        <w:snapToGrid w:val="0"/>
        <w:spacing w:before="288" w:beforeLines="120" w:after="288" w:afterLines="120" w:line="288" w:lineRule="auto"/>
        <w:contextualSpacing/>
        <w:jc w:val="both"/>
        <w:rPr>
          <w:sz w:val="24"/>
          <w:szCs w:val="24"/>
        </w:rPr>
      </w:pPr>
      <w:r>
        <w:rPr>
          <w:sz w:val="24"/>
          <w:szCs w:val="24"/>
        </w:rPr>
        <w:t>3.7.2 Nas contratações com prazo de vigência superior a 1 (um) ano, será considerado o valor anual do contrato.</w:t>
      </w:r>
    </w:p>
    <w:p w14:paraId="3089197B">
      <w:pPr>
        <w:pStyle w:val="83"/>
        <w:spacing w:before="288" w:beforeLines="120" w:after="288" w:afterLines="120" w:line="288" w:lineRule="auto"/>
        <w:ind w:left="0" w:firstLine="0"/>
        <w:contextualSpacing/>
        <w:rPr>
          <w:rFonts w:ascii="Times New Roman" w:hAnsi="Times New Roman" w:cs="Times New Roman"/>
          <w:color w:val="auto"/>
          <w:sz w:val="24"/>
          <w:szCs w:val="24"/>
        </w:rPr>
      </w:pPr>
      <w:bookmarkStart w:id="1" w:name="_Ref117000692"/>
      <w:r>
        <w:rPr>
          <w:rFonts w:ascii="Times New Roman" w:hAnsi="Times New Roman" w:cs="Times New Roman"/>
          <w:color w:val="auto"/>
          <w:sz w:val="24"/>
          <w:szCs w:val="24"/>
        </w:rPr>
        <w:t>3.8 Não poderão disputar esta licitação:</w:t>
      </w:r>
      <w:bookmarkEnd w:id="1"/>
    </w:p>
    <w:p w14:paraId="16A35C8D">
      <w:pPr>
        <w:tabs>
          <w:tab w:val="left" w:pos="1440"/>
        </w:tabs>
        <w:autoSpaceDE w:val="0"/>
        <w:snapToGrid w:val="0"/>
        <w:spacing w:before="288" w:beforeLines="120" w:after="288" w:afterLines="120" w:line="288" w:lineRule="auto"/>
        <w:contextualSpacing/>
        <w:jc w:val="both"/>
        <w:rPr>
          <w:sz w:val="24"/>
          <w:szCs w:val="24"/>
        </w:rPr>
      </w:pPr>
      <w:bookmarkStart w:id="2" w:name="_Ref113883338"/>
      <w:r>
        <w:rPr>
          <w:sz w:val="24"/>
          <w:szCs w:val="24"/>
        </w:rPr>
        <w:t>3.8.1 aquele que não atenda às condições deste Edital e seu(s) anexo(s);</w:t>
      </w:r>
    </w:p>
    <w:p w14:paraId="14225109">
      <w:pPr>
        <w:pStyle w:val="86"/>
        <w:spacing w:before="288" w:beforeLines="120" w:after="288" w:afterLines="120" w:line="288" w:lineRule="auto"/>
        <w:ind w:left="0" w:firstLine="0"/>
        <w:contextualSpacing/>
        <w:rPr>
          <w:rFonts w:ascii="Times New Roman" w:hAnsi="Times New Roman" w:cs="Times New Roman"/>
          <w:color w:val="auto"/>
          <w:sz w:val="24"/>
          <w:szCs w:val="24"/>
        </w:rPr>
      </w:pPr>
      <w:bookmarkStart w:id="3" w:name="_Ref113883003"/>
      <w:bookmarkStart w:id="4" w:name="_Ref114659912"/>
      <w:r>
        <w:rPr>
          <w:rFonts w:ascii="Times New Roman" w:hAnsi="Times New Roman" w:cs="Times New Roman"/>
          <w:color w:val="auto"/>
          <w:sz w:val="24"/>
          <w:szCs w:val="24"/>
        </w:rPr>
        <w:t>3.</w:t>
      </w:r>
      <w:r>
        <w:rPr>
          <w:rFonts w:ascii="Times New Roman" w:hAnsi="Times New Roman" w:cs="Times New Roman"/>
          <w:sz w:val="24"/>
          <w:szCs w:val="24"/>
        </w:rPr>
        <w:t>8</w:t>
      </w:r>
      <w:r>
        <w:rPr>
          <w:rFonts w:ascii="Times New Roman" w:hAnsi="Times New Roman" w:cs="Times New Roman"/>
          <w:color w:val="auto"/>
          <w:sz w:val="24"/>
          <w:szCs w:val="24"/>
        </w:rPr>
        <w:t>.2 pessoa física ou jurídica que se encontre, ao tempo da licitação, impossibilitada de participar da licitação em decorrência de sanção que lhe foi imposta;</w:t>
      </w:r>
      <w:bookmarkEnd w:id="3"/>
    </w:p>
    <w:p w14:paraId="038B8883">
      <w:pPr>
        <w:pStyle w:val="86"/>
        <w:spacing w:before="288" w:beforeLines="120" w:after="288" w:afterLines="120" w:line="288" w:lineRule="auto"/>
        <w:ind w:left="0" w:firstLine="0"/>
        <w:contextualSpacing/>
        <w:rPr>
          <w:rFonts w:ascii="Times New Roman" w:hAnsi="Times New Roman" w:cs="Times New Roman"/>
          <w:color w:val="auto"/>
          <w:sz w:val="24"/>
          <w:szCs w:val="24"/>
        </w:rPr>
      </w:pPr>
    </w:p>
    <w:p w14:paraId="1B00AC95">
      <w:pPr>
        <w:pStyle w:val="86"/>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3.8.3 autor do anteprojeto, do projeto básico ou do projeto executivo, pessoa física ou jurídica, quando a licitação versar sobre serviços ou fornecimento de bens a ele relacionados;</w:t>
      </w:r>
      <w:bookmarkEnd w:id="2"/>
      <w:bookmarkEnd w:id="4"/>
    </w:p>
    <w:p w14:paraId="03E9A34E">
      <w:pPr>
        <w:pStyle w:val="86"/>
        <w:spacing w:before="288" w:beforeLines="120" w:after="288" w:afterLines="120" w:line="288" w:lineRule="auto"/>
        <w:ind w:left="0" w:firstLine="0"/>
        <w:contextualSpacing/>
        <w:rPr>
          <w:rFonts w:ascii="Times New Roman" w:hAnsi="Times New Roman" w:cs="Times New Roman"/>
          <w:color w:val="auto"/>
          <w:sz w:val="24"/>
          <w:szCs w:val="24"/>
        </w:rPr>
      </w:pPr>
      <w:bookmarkStart w:id="5" w:name="_Ref114659913"/>
      <w:bookmarkStart w:id="6" w:name="_Ref113883339"/>
    </w:p>
    <w:p w14:paraId="352A8C47">
      <w:pPr>
        <w:pStyle w:val="86"/>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3.8.4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r>
        <w:rPr>
          <w:rFonts w:ascii="Times New Roman" w:hAnsi="Times New Roman" w:cs="Times New Roman"/>
          <w:color w:val="auto"/>
          <w:sz w:val="24"/>
          <w:szCs w:val="24"/>
        </w:rPr>
        <w:t xml:space="preserve"> </w:t>
      </w:r>
      <w:bookmarkEnd w:id="6"/>
    </w:p>
    <w:p w14:paraId="3C544853">
      <w:pPr>
        <w:pStyle w:val="86"/>
        <w:spacing w:before="288" w:beforeLines="120" w:after="288" w:afterLines="120" w:line="288" w:lineRule="auto"/>
        <w:ind w:left="0" w:firstLine="0"/>
        <w:contextualSpacing/>
        <w:rPr>
          <w:rFonts w:ascii="Times New Roman" w:hAnsi="Times New Roman" w:cs="Times New Roman"/>
          <w:color w:val="auto"/>
          <w:sz w:val="24"/>
          <w:szCs w:val="24"/>
        </w:rPr>
      </w:pPr>
    </w:p>
    <w:p w14:paraId="08676B67">
      <w:pPr>
        <w:pStyle w:val="86"/>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3.8.5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28FFA54">
      <w:pPr>
        <w:pStyle w:val="86"/>
        <w:spacing w:before="288" w:beforeLines="120" w:after="288" w:afterLines="120" w:line="288" w:lineRule="auto"/>
        <w:ind w:left="0" w:firstLine="0"/>
        <w:contextualSpacing/>
        <w:rPr>
          <w:rFonts w:ascii="Times New Roman" w:hAnsi="Times New Roman" w:cs="Times New Roman"/>
          <w:color w:val="auto"/>
          <w:sz w:val="24"/>
          <w:szCs w:val="24"/>
        </w:rPr>
      </w:pPr>
      <w:bookmarkStart w:id="7" w:name="_Ref113883579"/>
    </w:p>
    <w:p w14:paraId="68832CEC">
      <w:pPr>
        <w:pStyle w:val="86"/>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3.8.6 empresas controladoras, controladas ou coligadas, nos termos da Lei nº 6.404, de 15 de dezembro de 1976, concorrendo entre si;</w:t>
      </w:r>
      <w:bookmarkEnd w:id="7"/>
    </w:p>
    <w:p w14:paraId="0B5F53B9">
      <w:pPr>
        <w:pStyle w:val="86"/>
        <w:spacing w:before="288" w:beforeLines="120" w:after="288" w:afterLines="120" w:line="288" w:lineRule="auto"/>
        <w:ind w:left="0" w:firstLine="0"/>
        <w:contextualSpacing/>
        <w:rPr>
          <w:rFonts w:ascii="Times New Roman" w:hAnsi="Times New Roman" w:cs="Times New Roman"/>
          <w:color w:val="auto"/>
          <w:sz w:val="24"/>
          <w:szCs w:val="24"/>
        </w:rPr>
      </w:pPr>
    </w:p>
    <w:p w14:paraId="631B9F98">
      <w:pPr>
        <w:pStyle w:val="86"/>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3.8.7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5C67DAF">
      <w:pPr>
        <w:pStyle w:val="86"/>
        <w:spacing w:before="288" w:beforeLines="120" w:after="288" w:afterLines="120" w:line="288" w:lineRule="auto"/>
        <w:ind w:left="0" w:firstLine="0"/>
        <w:contextualSpacing/>
        <w:rPr>
          <w:rFonts w:ascii="Times New Roman" w:hAnsi="Times New Roman" w:cs="Times New Roman"/>
          <w:color w:val="auto"/>
          <w:sz w:val="24"/>
          <w:szCs w:val="24"/>
        </w:rPr>
      </w:pPr>
      <w:bookmarkStart w:id="8" w:name="_Ref113962336"/>
    </w:p>
    <w:p w14:paraId="1AD078E5">
      <w:pPr>
        <w:pStyle w:val="86"/>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3.8.8 agente público do órgão ou entidade licitante, na qualidade de pessoa física ou de representante de pessoa jurídica;</w:t>
      </w:r>
      <w:bookmarkEnd w:id="8"/>
    </w:p>
    <w:p w14:paraId="4ABAA642">
      <w:pPr>
        <w:pStyle w:val="86"/>
        <w:spacing w:before="288" w:beforeLines="120" w:after="288" w:afterLines="120" w:line="288" w:lineRule="auto"/>
        <w:ind w:left="0" w:firstLine="0"/>
        <w:contextualSpacing/>
        <w:rPr>
          <w:rFonts w:ascii="Times New Roman" w:hAnsi="Times New Roman" w:cs="Times New Roman"/>
          <w:color w:val="auto"/>
          <w:sz w:val="24"/>
          <w:szCs w:val="24"/>
        </w:rPr>
      </w:pPr>
    </w:p>
    <w:p w14:paraId="75890D3C">
      <w:pPr>
        <w:pStyle w:val="86"/>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3.8.9 </w:t>
      </w:r>
      <w:r>
        <w:rPr>
          <w:rFonts w:ascii="Times New Roman" w:hAnsi="Times New Roman" w:cs="Times New Roman"/>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fldChar w:fldCharType="begin"/>
      </w:r>
      <w:r>
        <w:instrText xml:space="preserve"> HYPERLINK "http://www.planalto.gov.br/ccivil_03/_ato2019-2022/2021/lei/L14133.htm" \l "art9§1" </w:instrText>
      </w:r>
      <w:r>
        <w:fldChar w:fldCharType="separate"/>
      </w:r>
      <w:r>
        <w:rPr>
          <w:rStyle w:val="14"/>
          <w:rFonts w:ascii="Times New Roman" w:hAnsi="Times New Roman" w:cs="Times New Roman" w:eastAsiaTheme="minorHAnsi"/>
          <w:color w:val="auto"/>
          <w:sz w:val="24"/>
          <w:szCs w:val="24"/>
        </w:rPr>
        <w:t>§ 1º do art. 9º da Lei nº 14.133/2021</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25CDC024">
      <w:pPr>
        <w:pStyle w:val="86"/>
        <w:spacing w:before="288" w:beforeLines="120" w:after="288" w:afterLines="120" w:line="288" w:lineRule="auto"/>
        <w:ind w:left="567" w:right="565" w:firstLine="0"/>
        <w:contextualSpacing/>
        <w:rPr>
          <w:rFonts w:ascii="Times New Roman" w:hAnsi="Times New Roman" w:cs="Times New Roman"/>
          <w:color w:val="FF0000"/>
          <w:sz w:val="24"/>
          <w:szCs w:val="24"/>
        </w:rPr>
      </w:pPr>
      <w:bookmarkStart w:id="9" w:name="_Hlk154223269"/>
    </w:p>
    <w:bookmarkEnd w:id="9"/>
    <w:p w14:paraId="6150FCF8">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3.9 </w:t>
      </w:r>
      <w:r>
        <w:rPr>
          <w:rFonts w:ascii="Times New Roman" w:hAnsi="Times New Roman" w:cs="Times New Roman"/>
          <w:sz w:val="24"/>
          <w:szCs w:val="24"/>
        </w:rPr>
        <w:t>O impedimento de que trata o item 3.7.2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7B059267">
      <w:pPr>
        <w:pStyle w:val="83"/>
        <w:spacing w:before="288" w:beforeLines="120" w:after="288" w:afterLines="120" w:line="288" w:lineRule="auto"/>
        <w:ind w:left="0" w:firstLine="0"/>
        <w:contextualSpacing/>
        <w:rPr>
          <w:rFonts w:ascii="Times New Roman" w:hAnsi="Times New Roman" w:cs="Times New Roman"/>
          <w:color w:val="auto"/>
          <w:sz w:val="24"/>
          <w:szCs w:val="24"/>
        </w:rPr>
      </w:pPr>
      <w:bookmarkStart w:id="10" w:name="art14§2"/>
      <w:bookmarkEnd w:id="10"/>
    </w:p>
    <w:p w14:paraId="1FCE713B">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3.10 A critério da Administração e exclusivamente a seu serviço, o autor dos projetos e a empresa a que se referem os itens 3.7.3 e 3.7.4 poderão participar no apoio das atividades de planejamento da contratação, de execução da licitação ou de gestão do contrato, desde que sob supervisão exclusiva de agentes públicos do órgão ou entidade.</w:t>
      </w:r>
    </w:p>
    <w:p w14:paraId="4DDAA8FE">
      <w:pPr>
        <w:pStyle w:val="83"/>
        <w:spacing w:before="288" w:beforeLines="120" w:after="288" w:afterLines="120" w:line="288" w:lineRule="auto"/>
        <w:ind w:left="0" w:firstLine="0"/>
        <w:contextualSpacing/>
        <w:rPr>
          <w:rFonts w:ascii="Times New Roman" w:hAnsi="Times New Roman" w:cs="Times New Roman"/>
          <w:color w:val="auto"/>
          <w:sz w:val="24"/>
          <w:szCs w:val="24"/>
        </w:rPr>
      </w:pPr>
      <w:bookmarkStart w:id="11" w:name="art14§3"/>
      <w:bookmarkEnd w:id="11"/>
    </w:p>
    <w:p w14:paraId="5891F9D4">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3.10.1 Equiparam-se aos autores do projeto as empresas integrantes do mesmo grupo econômico.</w:t>
      </w:r>
    </w:p>
    <w:p w14:paraId="732A26E2">
      <w:pPr>
        <w:pStyle w:val="83"/>
        <w:spacing w:before="288" w:beforeLines="120" w:after="288" w:afterLines="120" w:line="288" w:lineRule="auto"/>
        <w:ind w:left="0" w:firstLine="0"/>
        <w:contextualSpacing/>
        <w:rPr>
          <w:rFonts w:ascii="Times New Roman" w:hAnsi="Times New Roman" w:cs="Times New Roman"/>
          <w:color w:val="auto"/>
          <w:sz w:val="24"/>
          <w:szCs w:val="24"/>
        </w:rPr>
      </w:pPr>
      <w:bookmarkStart w:id="12" w:name="art14§4"/>
      <w:bookmarkEnd w:id="12"/>
    </w:p>
    <w:p w14:paraId="3322A962">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3.10.2 O disposto nos itens 3.7.3 e 3.7.4 não impede a licitação ou a contratação de serviço que inclua como encargo do contratado a elaboração do projeto básico e do projeto executivo, nas contratações integradas, e do projeto executivo, nos demais regimes de execução.</w:t>
      </w:r>
    </w:p>
    <w:p w14:paraId="53C8E30D">
      <w:pPr>
        <w:pStyle w:val="83"/>
        <w:spacing w:before="288" w:beforeLines="120" w:after="288" w:afterLines="120" w:line="288" w:lineRule="auto"/>
        <w:ind w:left="0" w:firstLine="0"/>
        <w:contextualSpacing/>
        <w:rPr>
          <w:rFonts w:ascii="Times New Roman" w:hAnsi="Times New Roman" w:cs="Times New Roman"/>
          <w:color w:val="auto"/>
          <w:sz w:val="24"/>
          <w:szCs w:val="24"/>
        </w:rPr>
      </w:pPr>
      <w:bookmarkStart w:id="13" w:name="art14§5"/>
      <w:bookmarkEnd w:id="13"/>
    </w:p>
    <w:p w14:paraId="5CBB4A61">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3.11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fldChar w:fldCharType="begin"/>
      </w:r>
      <w:r>
        <w:instrText xml:space="preserve"> HYPERLINK "http://www.planalto.gov.br/ccivil_03/_ato2019-2022/2021/lei/L14133.htm" </w:instrText>
      </w:r>
      <w:r>
        <w:fldChar w:fldCharType="separate"/>
      </w:r>
      <w:r>
        <w:rPr>
          <w:rStyle w:val="14"/>
          <w:rFonts w:ascii="Times New Roman" w:hAnsi="Times New Roman" w:cs="Times New Roman" w:eastAsiaTheme="minorHAnsi"/>
          <w:color w:val="auto"/>
          <w:sz w:val="24"/>
          <w:szCs w:val="24"/>
        </w:rPr>
        <w:t>Lei nº 14.133/2021</w:t>
      </w:r>
      <w:r>
        <w:rPr>
          <w:rStyle w:val="14"/>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w:t>
      </w:r>
    </w:p>
    <w:p w14:paraId="18215138">
      <w:pPr>
        <w:pStyle w:val="83"/>
        <w:spacing w:before="288" w:beforeLines="120" w:after="288" w:afterLines="120" w:line="288" w:lineRule="auto"/>
        <w:ind w:left="0" w:firstLine="0"/>
        <w:contextualSpacing/>
        <w:rPr>
          <w:rFonts w:ascii="Times New Roman" w:hAnsi="Times New Roman" w:eastAsia="Calibri" w:cs="Times New Roman"/>
          <w:sz w:val="24"/>
          <w:szCs w:val="24"/>
          <w:lang w:eastAsia="en-US"/>
        </w:rPr>
      </w:pPr>
    </w:p>
    <w:p w14:paraId="51358CFC">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3.12 A vedação de que trata o item </w:t>
      </w:r>
      <w:r>
        <w:rPr>
          <w:rFonts w:ascii="Times New Roman" w:hAnsi="Times New Roman" w:cs="Times New Roman"/>
          <w:color w:val="auto"/>
          <w:sz w:val="24"/>
          <w:szCs w:val="24"/>
        </w:rPr>
        <w:t xml:space="preserve">3.7.8 </w:t>
      </w:r>
      <w:r>
        <w:rPr>
          <w:rFonts w:ascii="Times New Roman" w:hAnsi="Times New Roman" w:cs="Times New Roman"/>
          <w:sz w:val="24"/>
          <w:szCs w:val="24"/>
        </w:rPr>
        <w:t>estende-se a terceiro que auxilie a condução da contratação na qualidade de integrante de equipe de apoio, profissional especializado ou funcionário ou representante de empresa que preste assessoria técnica.</w:t>
      </w:r>
    </w:p>
    <w:p w14:paraId="0E6E8FDE">
      <w:pPr>
        <w:pStyle w:val="83"/>
        <w:spacing w:before="288" w:beforeLines="120" w:after="288" w:afterLines="120" w:line="288" w:lineRule="auto"/>
        <w:ind w:left="0" w:firstLine="0"/>
        <w:contextualSpacing/>
        <w:rPr>
          <w:rFonts w:ascii="Times New Roman" w:hAnsi="Times New Roman" w:cs="Times New Roman"/>
          <w:sz w:val="24"/>
          <w:szCs w:val="24"/>
        </w:rPr>
      </w:pPr>
    </w:p>
    <w:p w14:paraId="4291F5D7">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3.13 Será permitida a participação de pessoas jurídicas reunidas em consórcio, observadas as seguintes regras:</w:t>
      </w:r>
    </w:p>
    <w:p w14:paraId="749109CD">
      <w:pPr>
        <w:pStyle w:val="83"/>
        <w:spacing w:before="288" w:beforeLines="120" w:after="288" w:afterLines="120" w:line="288" w:lineRule="auto"/>
        <w:ind w:left="0" w:firstLine="0"/>
        <w:contextualSpacing/>
        <w:rPr>
          <w:rFonts w:ascii="Times New Roman" w:hAnsi="Times New Roman" w:cs="Times New Roman"/>
          <w:sz w:val="24"/>
          <w:szCs w:val="24"/>
        </w:rPr>
      </w:pPr>
    </w:p>
    <w:p w14:paraId="7B31EF5C">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3.13.1 as empresas consorciadas apresentarão compromisso público ou particular de constituição do consórcio, subscrito por todas, onde deverá estar indicada a empresa líder como responsável principal perante o órgão licitante pelos atos praticados pelo consórcio, devendo constar expressamente do instrumento os poderes específicos para requerer, assumir compromissos, transigir, discordar, desistir, renunciar, receber e dar quitação, como também receber citação em Juízo;</w:t>
      </w:r>
    </w:p>
    <w:p w14:paraId="45B8A039">
      <w:pPr>
        <w:tabs>
          <w:tab w:val="left" w:pos="1440"/>
        </w:tabs>
        <w:autoSpaceDE w:val="0"/>
        <w:snapToGrid w:val="0"/>
        <w:spacing w:before="288" w:beforeLines="120" w:after="288" w:afterLines="120" w:line="288" w:lineRule="auto"/>
        <w:contextualSpacing/>
        <w:jc w:val="both"/>
        <w:rPr>
          <w:sz w:val="24"/>
          <w:szCs w:val="24"/>
        </w:rPr>
      </w:pPr>
      <w:r>
        <w:rPr>
          <w:sz w:val="24"/>
          <w:szCs w:val="24"/>
        </w:rPr>
        <w:t>3.13.2 impedimento de a empresa consorciada participar, na mesma licitação, de mais de um consórcio ou de forma isolada;</w:t>
      </w:r>
    </w:p>
    <w:p w14:paraId="56E771AA">
      <w:pPr>
        <w:tabs>
          <w:tab w:val="left" w:pos="1440"/>
        </w:tabs>
        <w:autoSpaceDE w:val="0"/>
        <w:snapToGrid w:val="0"/>
        <w:spacing w:before="288" w:beforeLines="120" w:after="288" w:afterLines="120" w:line="288" w:lineRule="auto"/>
        <w:contextualSpacing/>
        <w:jc w:val="both"/>
        <w:rPr>
          <w:sz w:val="24"/>
          <w:szCs w:val="24"/>
        </w:rPr>
      </w:pPr>
    </w:p>
    <w:p w14:paraId="08006120">
      <w:pPr>
        <w:tabs>
          <w:tab w:val="left" w:pos="1440"/>
        </w:tabs>
        <w:autoSpaceDE w:val="0"/>
        <w:snapToGrid w:val="0"/>
        <w:spacing w:before="288" w:beforeLines="120" w:after="288" w:afterLines="120" w:line="288" w:lineRule="auto"/>
        <w:contextualSpacing/>
        <w:jc w:val="both"/>
        <w:rPr>
          <w:sz w:val="24"/>
          <w:szCs w:val="24"/>
        </w:rPr>
      </w:pPr>
      <w:r>
        <w:rPr>
          <w:sz w:val="24"/>
          <w:szCs w:val="24"/>
        </w:rPr>
        <w:t>3.13.3 o consórcio vencedor, quando for o caso, ficará obrigado a promover a sua constituição e registro antes da celebração do Contrato, nos termos do compromisso firmado conforme item 3.12.1;</w:t>
      </w:r>
    </w:p>
    <w:p w14:paraId="119ABE5A">
      <w:pPr>
        <w:tabs>
          <w:tab w:val="left" w:pos="1440"/>
        </w:tabs>
        <w:autoSpaceDE w:val="0"/>
        <w:snapToGrid w:val="0"/>
        <w:spacing w:before="288" w:beforeLines="120" w:after="288" w:afterLines="120" w:line="288" w:lineRule="auto"/>
        <w:contextualSpacing/>
        <w:jc w:val="both"/>
        <w:rPr>
          <w:sz w:val="24"/>
          <w:szCs w:val="24"/>
        </w:rPr>
      </w:pPr>
    </w:p>
    <w:p w14:paraId="78853F3C">
      <w:pPr>
        <w:tabs>
          <w:tab w:val="left" w:pos="1440"/>
        </w:tabs>
        <w:autoSpaceDE w:val="0"/>
        <w:snapToGrid w:val="0"/>
        <w:spacing w:before="288" w:beforeLines="120" w:after="288" w:afterLines="120" w:line="288" w:lineRule="auto"/>
        <w:contextualSpacing/>
        <w:jc w:val="both"/>
        <w:rPr>
          <w:sz w:val="24"/>
          <w:szCs w:val="24"/>
        </w:rPr>
      </w:pPr>
      <w:r>
        <w:rPr>
          <w:sz w:val="24"/>
          <w:szCs w:val="24"/>
        </w:rPr>
        <w:t>3.13.4 as empresas consorciadas responderão solidariamente pelos atos praticados em consórcio, tanto na fase da licitação quanto na da execução do Contrato;</w:t>
      </w:r>
    </w:p>
    <w:p w14:paraId="2AD7D802">
      <w:pPr>
        <w:tabs>
          <w:tab w:val="left" w:pos="1440"/>
        </w:tabs>
        <w:autoSpaceDE w:val="0"/>
        <w:snapToGrid w:val="0"/>
        <w:spacing w:before="288" w:beforeLines="120" w:after="288" w:afterLines="120" w:line="288" w:lineRule="auto"/>
        <w:contextualSpacing/>
        <w:jc w:val="both"/>
        <w:rPr>
          <w:sz w:val="24"/>
          <w:szCs w:val="24"/>
        </w:rPr>
      </w:pPr>
    </w:p>
    <w:p w14:paraId="5AA0F1E9">
      <w:pPr>
        <w:tabs>
          <w:tab w:val="left" w:pos="1440"/>
        </w:tabs>
        <w:autoSpaceDE w:val="0"/>
        <w:snapToGrid w:val="0"/>
        <w:spacing w:before="288" w:beforeLines="120" w:after="288" w:afterLines="120" w:line="288" w:lineRule="auto"/>
        <w:contextualSpacing/>
        <w:jc w:val="both"/>
        <w:rPr>
          <w:sz w:val="24"/>
          <w:szCs w:val="24"/>
        </w:rPr>
      </w:pPr>
      <w:r>
        <w:rPr>
          <w:sz w:val="24"/>
          <w:szCs w:val="24"/>
        </w:rPr>
        <w:t>3.13.5 a substituição de consorciado deverá ser expressamente autorizada pelo órgão ou entidade contratante e condicionada à comprovação de que a nova empresa do consórcio possui, no mínimo, os mesmos quantitativos para efeito de habilitação técnica e os mesmos valores para efeito de qualificação econômico-financeira apresentados pela empresa substituída para fins de habilitação do consórcio no processo licitatório que originou o contrato.</w:t>
      </w:r>
    </w:p>
    <w:p w14:paraId="0EA2BD04">
      <w:pPr>
        <w:pStyle w:val="81"/>
        <w:spacing w:before="0" w:beforeAutospacing="0" w:after="0" w:afterAutospacing="0" w:line="288" w:lineRule="auto"/>
        <w:contextualSpacing/>
        <w:jc w:val="both"/>
        <w:rPr>
          <w:rFonts w:eastAsia="Calibri"/>
          <w:b/>
          <w:bCs/>
          <w:lang w:eastAsia="en-US"/>
        </w:rPr>
      </w:pPr>
      <w:r>
        <w:rPr>
          <w:rFonts w:eastAsia="Calibri"/>
          <w:b/>
          <w:bCs/>
          <w:lang w:eastAsia="en-US"/>
        </w:rPr>
        <w:t>4. DAS DECLARAÇÕES E DA APRESENTAÇÃO DA PROPOSTA</w:t>
      </w:r>
    </w:p>
    <w:p w14:paraId="1439FBA0">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 Na presente licitação, a fase de habilitação será realizada após as fases de apresentação de propostas e lances e de julgamento.</w:t>
      </w:r>
    </w:p>
    <w:p w14:paraId="7F3A3B77">
      <w:pPr>
        <w:pStyle w:val="83"/>
        <w:spacing w:before="288" w:beforeLines="120" w:after="288" w:afterLines="120" w:line="288" w:lineRule="auto"/>
        <w:ind w:left="0" w:firstLine="0"/>
        <w:contextualSpacing/>
        <w:rPr>
          <w:rFonts w:ascii="Times New Roman" w:hAnsi="Times New Roman" w:cs="Times New Roman"/>
          <w:color w:val="auto"/>
          <w:sz w:val="24"/>
          <w:szCs w:val="24"/>
        </w:rPr>
      </w:pPr>
      <w:bookmarkStart w:id="14" w:name="_Ref113886867"/>
    </w:p>
    <w:p w14:paraId="4342E1D4">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4.2 Os licitantes encaminharão, exclusivamente por meio do sistema eletrônico, a proposta com o preço ou o percentual de desconto, conforme o critério de julgamento adotado neste Edital, até a data e o horário estabelecidos para abertura da sessão pública.</w:t>
      </w:r>
      <w:bookmarkEnd w:id="14"/>
      <w:bookmarkStart w:id="15" w:name="_Ref113968921"/>
    </w:p>
    <w:p w14:paraId="77DE4B84">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26040E6D">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4.3 No cadastramento da proposta inicial, o licitante declarará, em campo próprio do sistema, que:</w:t>
      </w:r>
      <w:bookmarkEnd w:id="15"/>
    </w:p>
    <w:p w14:paraId="04AA2EAA">
      <w:pPr>
        <w:pStyle w:val="86"/>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4.3.1 está ciente e concorda com as condições contidas no Edital e seus anexos</w:t>
      </w:r>
      <w:bookmarkStart w:id="16" w:name="_Hlk154224613"/>
      <w:r>
        <w:rPr>
          <w:rFonts w:ascii="Times New Roman" w:hAnsi="Times New Roman" w:cs="Times New Roman"/>
          <w:color w:val="auto"/>
          <w:sz w:val="24"/>
          <w:szCs w:val="24"/>
        </w:rPr>
        <w:t>,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bookmarkEnd w:id="16"/>
    <w:p w14:paraId="0FCCD2AD">
      <w:pPr>
        <w:pStyle w:val="86"/>
        <w:spacing w:before="288" w:beforeLines="120" w:after="288" w:afterLines="120" w:line="288" w:lineRule="auto"/>
        <w:ind w:left="0" w:firstLine="0"/>
        <w:contextualSpacing/>
        <w:rPr>
          <w:rFonts w:ascii="Times New Roman" w:hAnsi="Times New Roman" w:cs="Times New Roman"/>
          <w:color w:val="auto"/>
          <w:sz w:val="24"/>
          <w:szCs w:val="24"/>
        </w:rPr>
      </w:pPr>
    </w:p>
    <w:p w14:paraId="3FBB030D">
      <w:pPr>
        <w:pStyle w:val="86"/>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4.3.2 não emprega menor de 18 anos em trabalho noturno, perigoso ou insalubre e não emprega menor de 16 anos, salvo menor, a partir de 14 anos, na condição de aprendiz, nos termos do </w:t>
      </w:r>
      <w:r>
        <w:fldChar w:fldCharType="begin"/>
      </w:r>
      <w:r>
        <w:instrText xml:space="preserve"> HYPERLINK "https://www.planalto.gov.br/ccivil_03/constituicao/constituicaocompilado.htm" \l "art7" </w:instrText>
      </w:r>
      <w:r>
        <w:fldChar w:fldCharType="separate"/>
      </w:r>
      <w:r>
        <w:rPr>
          <w:rStyle w:val="14"/>
          <w:rFonts w:ascii="Times New Roman" w:hAnsi="Times New Roman" w:cs="Times New Roman" w:eastAsiaTheme="minorHAnsi"/>
          <w:color w:val="auto"/>
          <w:sz w:val="24"/>
          <w:szCs w:val="24"/>
        </w:rPr>
        <w:t>art. 7°, XXXIII, da Constituição</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0470D927">
      <w:pPr>
        <w:pStyle w:val="86"/>
        <w:spacing w:before="288" w:beforeLines="120" w:after="288" w:afterLines="120" w:line="288" w:lineRule="auto"/>
        <w:ind w:left="0" w:firstLine="0"/>
        <w:contextualSpacing/>
        <w:rPr>
          <w:rFonts w:ascii="Times New Roman" w:hAnsi="Times New Roman" w:cs="Times New Roman"/>
          <w:sz w:val="24"/>
          <w:szCs w:val="24"/>
        </w:rPr>
      </w:pPr>
      <w:bookmarkStart w:id="17" w:name="_Hlk154224321"/>
    </w:p>
    <w:p w14:paraId="78474EF5">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4.3.3 não possui empregados executando trabalho degradante ou forçado, observando o disposto nos </w:t>
      </w:r>
      <w:r>
        <w:fldChar w:fldCharType="begin"/>
      </w:r>
      <w:r>
        <w:instrText xml:space="preserve"> HYPERLINK "https://www.planalto.gov.br/ccivil_03/constituicao/constituicaocompilado.htm" </w:instrText>
      </w:r>
      <w:r>
        <w:fldChar w:fldCharType="separate"/>
      </w:r>
      <w:r>
        <w:rPr>
          <w:rStyle w:val="14"/>
          <w:rFonts w:ascii="Times New Roman" w:hAnsi="Times New Roman" w:cs="Times New Roman" w:eastAsiaTheme="minorHAnsi"/>
          <w:color w:val="auto"/>
          <w:sz w:val="24"/>
          <w:szCs w:val="24"/>
        </w:rPr>
        <w:t>incisos III e IV do art. 1º e no inciso III do art. 5º da Constituição Federal</w:t>
      </w:r>
      <w:r>
        <w:rPr>
          <w:rStyle w:val="14"/>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w:t>
      </w:r>
    </w:p>
    <w:bookmarkEnd w:id="17"/>
    <w:p w14:paraId="62AD0A22">
      <w:pPr>
        <w:pStyle w:val="86"/>
        <w:spacing w:before="288" w:beforeLines="120" w:after="288" w:afterLines="120" w:line="288" w:lineRule="auto"/>
        <w:ind w:left="0" w:firstLine="0"/>
        <w:contextualSpacing/>
        <w:rPr>
          <w:rFonts w:ascii="Times New Roman" w:hAnsi="Times New Roman" w:cs="Times New Roman"/>
          <w:color w:val="auto"/>
          <w:sz w:val="24"/>
          <w:szCs w:val="24"/>
        </w:rPr>
      </w:pPr>
    </w:p>
    <w:p w14:paraId="236AA161">
      <w:pPr>
        <w:pStyle w:val="86"/>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4.3.4 cumpre as exigências de reserva de cargos para pessoa com deficiência e para reabilitado da Previdência Social, previstas em lei e em outras normas específicas;</w:t>
      </w:r>
    </w:p>
    <w:p w14:paraId="4CBDD6B6">
      <w:pPr>
        <w:pStyle w:val="86"/>
        <w:spacing w:before="288" w:beforeLines="120" w:after="288" w:afterLines="120" w:line="288" w:lineRule="auto"/>
        <w:ind w:left="0" w:firstLine="0"/>
        <w:contextualSpacing/>
        <w:rPr>
          <w:rFonts w:ascii="Times New Roman" w:hAnsi="Times New Roman" w:cs="Times New Roman"/>
          <w:color w:val="auto"/>
          <w:sz w:val="24"/>
          <w:szCs w:val="24"/>
        </w:rPr>
      </w:pPr>
    </w:p>
    <w:p w14:paraId="312B12A5">
      <w:pPr>
        <w:pStyle w:val="86"/>
        <w:spacing w:before="288" w:beforeLines="120" w:after="288" w:afterLines="120" w:line="288" w:lineRule="auto"/>
        <w:ind w:left="0" w:firstLine="0"/>
        <w:contextualSpacing/>
        <w:rPr>
          <w:rFonts w:ascii="Times New Roman" w:hAnsi="Times New Roman" w:cs="Times New Roman"/>
          <w:color w:val="auto"/>
          <w:sz w:val="24"/>
          <w:szCs w:val="24"/>
        </w:rPr>
      </w:pPr>
      <w:bookmarkStart w:id="18" w:name="_Hlk154224365"/>
      <w:r>
        <w:rPr>
          <w:rFonts w:ascii="Times New Roman" w:hAnsi="Times New Roman" w:cs="Times New Roman"/>
          <w:color w:val="auto"/>
          <w:sz w:val="24"/>
          <w:szCs w:val="24"/>
        </w:rPr>
        <w:t>4.3.5 está ciente da obrigação de cumprimento de cota de aprendiz, na forma dos artigos 429 e seguintes da Consolidação das Leis do Trabalho, e da necessidade de comprovar o cumprimento dessa exigência, por meio de certidão, no momento de assinatura do contrato;</w:t>
      </w:r>
    </w:p>
    <w:bookmarkEnd w:id="18"/>
    <w:p w14:paraId="5C7721FA">
      <w:pPr>
        <w:pStyle w:val="86"/>
        <w:spacing w:before="288" w:beforeLines="120" w:after="288" w:afterLines="120" w:line="288" w:lineRule="auto"/>
        <w:ind w:left="0" w:firstLine="0"/>
        <w:contextualSpacing/>
        <w:rPr>
          <w:rFonts w:ascii="Times New Roman" w:hAnsi="Times New Roman" w:cs="Times New Roman"/>
          <w:color w:val="auto"/>
          <w:sz w:val="24"/>
          <w:szCs w:val="24"/>
        </w:rPr>
      </w:pPr>
      <w:bookmarkStart w:id="19" w:name="_Hlk154224840"/>
    </w:p>
    <w:p w14:paraId="615F4C16">
      <w:pPr>
        <w:pStyle w:val="86"/>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4.3.6 não foram aplicadas penalidades de suspensão temporária da participação em licitação, impedimento de contratar ou declaração de inidoneidade para licitar e contratar cujos efeitos ainda vigorem e sejam aplicáveis no âmbito do Município de Valença RJ.</w:t>
      </w:r>
    </w:p>
    <w:bookmarkEnd w:id="19"/>
    <w:p w14:paraId="1FF6C0C9">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4.4 O licitante organizado em cooperativa deverá declarar, ainda, em campo próprio do sistema eletrônico, que cumpre os requisitos estabelecidos no </w:t>
      </w:r>
      <w:r>
        <w:fldChar w:fldCharType="begin"/>
      </w:r>
      <w:r>
        <w:instrText xml:space="preserve"> HYPERLINK "http://www.planalto.gov.br/ccivil_03/_ato2019-2022/2021/lei/L14133.htm" \l "art16" </w:instrText>
      </w:r>
      <w:r>
        <w:fldChar w:fldCharType="separate"/>
      </w:r>
      <w:r>
        <w:rPr>
          <w:rStyle w:val="14"/>
          <w:rFonts w:ascii="Times New Roman" w:hAnsi="Times New Roman" w:cs="Times New Roman" w:eastAsiaTheme="minorHAnsi"/>
          <w:color w:val="auto"/>
          <w:sz w:val="24"/>
          <w:szCs w:val="24"/>
        </w:rPr>
        <w:t>art. 16 da Lei nº 14.133/2021</w:t>
      </w:r>
      <w:r>
        <w:rPr>
          <w:rStyle w:val="14"/>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w:t>
      </w:r>
    </w:p>
    <w:p w14:paraId="584E9BDC">
      <w:pPr>
        <w:pStyle w:val="83"/>
        <w:spacing w:before="288" w:beforeLines="120" w:after="288" w:afterLines="120" w:line="288" w:lineRule="auto"/>
        <w:ind w:left="0" w:firstLine="0"/>
        <w:contextualSpacing/>
        <w:rPr>
          <w:rFonts w:ascii="Times New Roman" w:hAnsi="Times New Roman" w:cs="Times New Roman"/>
          <w:color w:val="auto"/>
          <w:sz w:val="24"/>
          <w:szCs w:val="24"/>
        </w:rPr>
      </w:pPr>
      <w:bookmarkStart w:id="20" w:name="_Ref117000019"/>
    </w:p>
    <w:p w14:paraId="5ABE33A4">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4.5 O fornecedor enquadrado como microempresa, empresa de pequeno porte ou sociedade cooperativa deverá declarar, ainda, em campo próprio do sistema eletrônico, que cumpre os requisitos estabelecidos no </w:t>
      </w:r>
      <w:r>
        <w:fldChar w:fldCharType="begin"/>
      </w:r>
      <w:r>
        <w:instrText xml:space="preserve"> HYPERLINK "https://www.planalto.gov.br/ccivil_03/leis/lcp/lcp123.htm" \l "art3" </w:instrText>
      </w:r>
      <w:r>
        <w:fldChar w:fldCharType="separate"/>
      </w:r>
      <w:r>
        <w:rPr>
          <w:rStyle w:val="14"/>
          <w:rFonts w:ascii="Times New Roman" w:hAnsi="Times New Roman" w:cs="Times New Roman" w:eastAsiaTheme="minorHAnsi"/>
          <w:color w:val="auto"/>
          <w:sz w:val="24"/>
          <w:szCs w:val="24"/>
        </w:rPr>
        <w:t>art. 3° da Lei Complementar nº 123/2006</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estando apto a usufruir do tratamento favorecido estabelecido em seus </w:t>
      </w:r>
      <w:bookmarkEnd w:id="20"/>
      <w:r>
        <w:fldChar w:fldCharType="begin"/>
      </w:r>
      <w:r>
        <w:rPr>
          <w:rFonts w:ascii="Times New Roman" w:hAnsi="Times New Roman" w:cs="Times New Roman"/>
          <w:color w:val="auto"/>
          <w:sz w:val="24"/>
          <w:szCs w:val="24"/>
        </w:rPr>
        <w:instrText xml:space="preserve">HYPERLINK "https://www.planalto.gov.br/ccivil_03/leis/lcp/lcp123.htm" \l "art42"</w:instrText>
      </w:r>
      <w:r>
        <w:fldChar w:fldCharType="separate"/>
      </w:r>
      <w:r>
        <w:rPr>
          <w:rStyle w:val="14"/>
          <w:rFonts w:ascii="Times New Roman" w:hAnsi="Times New Roman" w:cs="Times New Roman" w:eastAsiaTheme="minorHAnsi"/>
          <w:color w:val="auto"/>
          <w:sz w:val="24"/>
          <w:szCs w:val="24"/>
        </w:rPr>
        <w:t>arts. 42 a 49</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observado o disposto nos </w:t>
      </w:r>
      <w:r>
        <w:fldChar w:fldCharType="begin"/>
      </w:r>
      <w:r>
        <w:instrText xml:space="preserve"> HYPERLINK "http://www.planalto.gov.br/ccivil_03/_ato2019-2022/2021/lei/L14133.htm" \l "art4§1" </w:instrText>
      </w:r>
      <w:r>
        <w:fldChar w:fldCharType="separate"/>
      </w:r>
      <w:r>
        <w:rPr>
          <w:rStyle w:val="14"/>
          <w:rFonts w:ascii="Times New Roman" w:hAnsi="Times New Roman" w:cs="Times New Roman" w:eastAsiaTheme="minorHAnsi"/>
          <w:color w:val="auto"/>
          <w:sz w:val="24"/>
          <w:szCs w:val="24"/>
        </w:rPr>
        <w:t>§§ 1º ao 3º do art. 4º da Lei n.º 14.133/2021.</w:t>
      </w:r>
      <w:r>
        <w:rPr>
          <w:rStyle w:val="14"/>
          <w:rFonts w:ascii="Times New Roman" w:hAnsi="Times New Roman" w:cs="Times New Roman" w:eastAsiaTheme="minorHAnsi"/>
          <w:color w:val="auto"/>
          <w:sz w:val="24"/>
          <w:szCs w:val="24"/>
        </w:rPr>
        <w:fldChar w:fldCharType="end"/>
      </w:r>
    </w:p>
    <w:p w14:paraId="4DD009EC">
      <w:pPr>
        <w:pStyle w:val="86"/>
        <w:spacing w:before="288" w:beforeLines="120" w:after="288" w:afterLines="120" w:line="288" w:lineRule="auto"/>
        <w:ind w:left="0" w:firstLine="0"/>
        <w:contextualSpacing/>
        <w:rPr>
          <w:rFonts w:ascii="Times New Roman" w:hAnsi="Times New Roman" w:cs="Times New Roman"/>
          <w:sz w:val="24"/>
          <w:szCs w:val="24"/>
        </w:rPr>
      </w:pPr>
      <w:bookmarkStart w:id="21" w:name="_Hlk154225179"/>
      <w:r>
        <w:rPr>
          <w:rFonts w:ascii="Times New Roman" w:hAnsi="Times New Roman" w:cs="Times New Roman"/>
          <w:sz w:val="24"/>
          <w:szCs w:val="24"/>
        </w:rPr>
        <w:t>4.5.1 no item exclusivo para participação de microempresas e empresas de pequeno porte, a ausência de declaração na forma do item anterior impedirá o prosseguimento no certame, para aquele item;</w:t>
      </w:r>
    </w:p>
    <w:p w14:paraId="4119796D">
      <w:pPr>
        <w:pStyle w:val="86"/>
        <w:spacing w:before="288" w:beforeLines="120" w:after="288" w:afterLines="120" w:line="288" w:lineRule="auto"/>
        <w:ind w:left="0" w:firstLine="0"/>
        <w:contextualSpacing/>
        <w:rPr>
          <w:rFonts w:ascii="Times New Roman" w:hAnsi="Times New Roman" w:cs="Times New Roman"/>
          <w:sz w:val="24"/>
          <w:szCs w:val="24"/>
        </w:rPr>
      </w:pPr>
    </w:p>
    <w:p w14:paraId="09542A82">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4.5.2 nos itens em que a participação não for exclusiva para microempresas e empresas de pequeno porte, a ausência de declaração na forma do item 4.5 apenas produzirá o efeito de o licitante não ter direito ao tratamento favorecido previsto </w:t>
      </w:r>
      <w:r>
        <w:rPr>
          <w:rFonts w:ascii="Times New Roman" w:hAnsi="Times New Roman" w:cs="Times New Roman"/>
          <w:color w:val="auto"/>
          <w:sz w:val="24"/>
          <w:szCs w:val="24"/>
        </w:rPr>
        <w:t xml:space="preserve">na </w:t>
      </w:r>
      <w:r>
        <w:fldChar w:fldCharType="begin"/>
      </w:r>
      <w:r>
        <w:instrText xml:space="preserve"> HYPERLINK "https://www.planalto.gov.br/ccivil_03/leis/lcp/lcp123.htm" </w:instrText>
      </w:r>
      <w:r>
        <w:fldChar w:fldCharType="separate"/>
      </w:r>
      <w:r>
        <w:rPr>
          <w:rStyle w:val="14"/>
          <w:rFonts w:ascii="Times New Roman" w:hAnsi="Times New Roman" w:cs="Times New Roman" w:eastAsiaTheme="minorHAnsi"/>
          <w:color w:val="auto"/>
          <w:sz w:val="24"/>
          <w:szCs w:val="24"/>
        </w:rPr>
        <w:t>Lei Complementar nº 123/2006</w:t>
      </w:r>
      <w:r>
        <w:rPr>
          <w:rStyle w:val="14"/>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mesmo que microempresa, empresa de pequeno porte ou sociedade cooperativa.</w:t>
      </w:r>
    </w:p>
    <w:p w14:paraId="7CEF83E1">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4.6 A falsidade das declarações de que tratam os itens 4.3 a 4.5 sujeitará o licitante às sanções previstas na </w:t>
      </w:r>
      <w:r>
        <w:fldChar w:fldCharType="begin"/>
      </w:r>
      <w:r>
        <w:instrText xml:space="preserve"> HYPERLINK "http://www.planalto.gov.br/ccivil_03/_ato2019-2022/2021/lei/L14133.htm" </w:instrText>
      </w:r>
      <w:r>
        <w:fldChar w:fldCharType="separate"/>
      </w:r>
      <w:r>
        <w:rPr>
          <w:rStyle w:val="14"/>
          <w:rFonts w:ascii="Times New Roman" w:hAnsi="Times New Roman" w:cs="Times New Roman" w:eastAsiaTheme="minorHAnsi"/>
          <w:color w:val="auto"/>
          <w:sz w:val="24"/>
          <w:szCs w:val="24"/>
        </w:rPr>
        <w:t>Lei nº 14.133/2021</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e neste Edital.</w:t>
      </w:r>
    </w:p>
    <w:bookmarkEnd w:id="21"/>
    <w:p w14:paraId="0BA359F5">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14BED25D">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4.7 Os licitantes poderão retirar ou substituir a proposta ou, </w:t>
      </w:r>
      <w:r>
        <w:rPr>
          <w:rFonts w:ascii="Times New Roman" w:hAnsi="Times New Roman" w:cs="Times New Roman"/>
          <w:sz w:val="24"/>
          <w:szCs w:val="24"/>
        </w:rPr>
        <w:t xml:space="preserve">na hipótese de a fase de habilitação anteceder as fases de apresentação de propostas e lances e de julgamento, </w:t>
      </w:r>
      <w:r>
        <w:rPr>
          <w:rFonts w:ascii="Times New Roman" w:hAnsi="Times New Roman" w:cs="Times New Roman"/>
          <w:color w:val="auto"/>
          <w:sz w:val="24"/>
          <w:szCs w:val="24"/>
        </w:rPr>
        <w:t>os documentos de habilitação anteriormente inseridos no sistema, até a abertura da sessão pública.</w:t>
      </w:r>
    </w:p>
    <w:p w14:paraId="779902C3">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440BEFE5">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4.8 Não haverá ordem de classificação na etapa de apresentação da proposta e das declarações pelo licitante, o que ocorrerá somente após os procedimentos de abertura da sessão pública e da fase de envio de lances.</w:t>
      </w:r>
    </w:p>
    <w:p w14:paraId="18FF042D">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0A4FFFFA">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4.9 Após a fase de envio de lances, serão disponibilizados para acesso público os documentos que compõem a proposta dos licitantes convocados para apresentação de propostas.</w:t>
      </w:r>
    </w:p>
    <w:p w14:paraId="3A1BD431">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58A82262">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4.10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453BE77D">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262C70BE">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4.11 O licitante deverá comunicar imediatamente ao provedor do sistema qualquer acontecimento que possa comprometer o sigilo ou a segurança, para imediato bloqueio de acesso.</w:t>
      </w:r>
    </w:p>
    <w:p w14:paraId="6E44DFC1">
      <w:pPr>
        <w:pStyle w:val="83"/>
        <w:spacing w:before="288" w:beforeLines="120" w:after="288" w:afterLines="120" w:line="288" w:lineRule="auto"/>
        <w:ind w:left="567" w:right="565" w:firstLine="0"/>
        <w:contextualSpacing/>
        <w:rPr>
          <w:rFonts w:ascii="Times New Roman" w:hAnsi="Times New Roman" w:cs="Times New Roman"/>
          <w:color w:val="FF0000"/>
          <w:sz w:val="24"/>
          <w:szCs w:val="24"/>
        </w:rPr>
      </w:pPr>
    </w:p>
    <w:p w14:paraId="6348E2E0">
      <w:pPr>
        <w:pStyle w:val="83"/>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4.12 Desde que disponibilizada a funcionalidade no sistema, o licitante poderá parametrizar o seu valor final mínimo ou o seu percentual de desconto máximo quando do cadastramento da proposta e obedecerá às seguintes regras:</w:t>
      </w:r>
    </w:p>
    <w:p w14:paraId="7E349DA3">
      <w:pPr>
        <w:pStyle w:val="86"/>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4.12.1 a aplicação do intervalo mínimo de diferença de valores ou de percentuais entre os lances, conforme disposto no item 6.8, que incidirá tanto em relação aos lances intermediários quanto em relação ao lance que cobrir a melhor oferta;  </w:t>
      </w:r>
    </w:p>
    <w:p w14:paraId="4390767E">
      <w:pPr>
        <w:pStyle w:val="86"/>
        <w:spacing w:before="288" w:beforeLines="120" w:after="288" w:afterLines="120" w:line="288" w:lineRule="auto"/>
        <w:ind w:left="0" w:right="-2" w:firstLine="0"/>
        <w:contextualSpacing/>
        <w:rPr>
          <w:rFonts w:ascii="Times New Roman" w:hAnsi="Times New Roman" w:cs="Times New Roman"/>
          <w:color w:val="auto"/>
          <w:sz w:val="24"/>
          <w:szCs w:val="24"/>
        </w:rPr>
      </w:pPr>
    </w:p>
    <w:p w14:paraId="181E986B">
      <w:pPr>
        <w:pStyle w:val="86"/>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4.12.2 os lances serão de envio automático pelo sistema, respeitado o valor final mínimo, caso estabelecido, e o intervalo de que trata o subitem acima.</w:t>
      </w:r>
    </w:p>
    <w:p w14:paraId="68C9EFC6">
      <w:pPr>
        <w:pStyle w:val="83"/>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4.13 O valor final mínimo ou o percentual de desconto final máximo parametrizado no sistema poderá ser alterado pelo fornecedor durante a fase de disputa, sendo vedado:</w:t>
      </w:r>
    </w:p>
    <w:p w14:paraId="260073E5">
      <w:pPr>
        <w:pStyle w:val="86"/>
        <w:spacing w:before="288" w:beforeLines="120" w:after="288" w:afterLines="120" w:line="288" w:lineRule="auto"/>
        <w:ind w:left="0"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4.13.1 valor superior a lance já registrado pelo fornecedor no sistema, quando adotado o critério de julgamento por menor preço; e</w:t>
      </w:r>
    </w:p>
    <w:p w14:paraId="7A6AE06B">
      <w:pPr>
        <w:pStyle w:val="86"/>
        <w:spacing w:before="288" w:beforeLines="120" w:after="288" w:afterLines="120" w:line="288" w:lineRule="auto"/>
        <w:ind w:left="0" w:right="565" w:firstLine="0"/>
        <w:contextualSpacing/>
        <w:rPr>
          <w:rFonts w:ascii="Times New Roman" w:hAnsi="Times New Roman" w:cs="Times New Roman"/>
          <w:color w:val="auto"/>
          <w:sz w:val="24"/>
          <w:szCs w:val="24"/>
        </w:rPr>
      </w:pPr>
    </w:p>
    <w:p w14:paraId="71306CF8">
      <w:pPr>
        <w:pStyle w:val="86"/>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4.13.2 percentual de desconto inferior a lance já registrado pelo fornecedor no sistema, quando adotado o critério de julgamento por maior desconto.</w:t>
      </w:r>
    </w:p>
    <w:p w14:paraId="69D148EC">
      <w:pPr>
        <w:pStyle w:val="83"/>
        <w:spacing w:before="288" w:beforeLines="120" w:after="288" w:afterLines="120" w:line="288" w:lineRule="auto"/>
        <w:ind w:left="0" w:right="-2" w:firstLine="0"/>
        <w:contextualSpacing/>
        <w:rPr>
          <w:rFonts w:ascii="Times New Roman" w:hAnsi="Times New Roman" w:cs="Times New Roman"/>
          <w:color w:val="FF0000"/>
          <w:sz w:val="24"/>
          <w:szCs w:val="24"/>
        </w:rPr>
      </w:pPr>
      <w:r>
        <w:rPr>
          <w:rFonts w:ascii="Times New Roman" w:hAnsi="Times New Roman" w:cs="Times New Roman"/>
          <w:color w:val="auto"/>
          <w:sz w:val="24"/>
          <w:szCs w:val="24"/>
        </w:rPr>
        <w:t>4.14 O valor final mínimo ou o percentual de desconto final máximo parametrizado na forma do item 4.12 possuirá caráter sigiloso para os demais fornecedores e para o órgão ou entidade promotora da licitação, podendo ser disponibilizado estrita e permanentemente aos órgãos de controle externo e interno.</w:t>
      </w:r>
    </w:p>
    <w:p w14:paraId="1CE7760E">
      <w:pPr>
        <w:pStyle w:val="81"/>
        <w:spacing w:before="0" w:beforeAutospacing="0" w:after="0" w:afterAutospacing="0" w:line="288" w:lineRule="auto"/>
        <w:contextualSpacing/>
        <w:jc w:val="both"/>
        <w:rPr>
          <w:rFonts w:eastAsia="Calibri"/>
          <w:b/>
          <w:bCs/>
          <w:lang w:eastAsia="en-US"/>
        </w:rPr>
      </w:pPr>
      <w:r>
        <w:rPr>
          <w:rFonts w:eastAsia="Calibri"/>
          <w:b/>
          <w:bCs/>
          <w:lang w:eastAsia="en-US"/>
        </w:rPr>
        <w:t>5. DO PREENCHIMENTO DA PROPOSTA</w:t>
      </w:r>
    </w:p>
    <w:p w14:paraId="76A8B546">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5.1 O licitante deverá enviar sua proposta mediante o preenchimento, no sistema eletrônico, dos seguintes campos:</w:t>
      </w:r>
    </w:p>
    <w:p w14:paraId="413F357E">
      <w:pPr>
        <w:pStyle w:val="86"/>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5.1.1 Valor unitário do item;</w:t>
      </w:r>
    </w:p>
    <w:p w14:paraId="30F3EE61">
      <w:pPr>
        <w:pStyle w:val="86"/>
        <w:spacing w:before="288" w:beforeLines="120" w:after="288" w:afterLines="120" w:line="288" w:lineRule="auto"/>
        <w:ind w:left="0" w:firstLine="0"/>
        <w:contextualSpacing/>
        <w:rPr>
          <w:rFonts w:ascii="Times New Roman" w:hAnsi="Times New Roman" w:cs="Times New Roman"/>
          <w:color w:val="auto"/>
          <w:sz w:val="24"/>
          <w:szCs w:val="24"/>
        </w:rPr>
      </w:pPr>
    </w:p>
    <w:p w14:paraId="190CBD48">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5.1.2 </w:t>
      </w:r>
      <w:r>
        <w:rPr>
          <w:rFonts w:ascii="Times New Roman" w:hAnsi="Times New Roman" w:cs="Times New Roman"/>
          <w:sz w:val="24"/>
          <w:szCs w:val="24"/>
        </w:rPr>
        <w:t xml:space="preserve">Serão aceitos marcas e fabricantes que comprovem o atendimento a essas especificações. A apresentação de ficha técnica e certificados de qualidade é obrigatória. </w:t>
      </w:r>
    </w:p>
    <w:p w14:paraId="7114427F">
      <w:pPr>
        <w:pStyle w:val="86"/>
        <w:spacing w:before="288" w:beforeLines="120" w:after="288" w:afterLines="120" w:line="288" w:lineRule="auto"/>
        <w:ind w:left="0" w:firstLine="0"/>
        <w:contextualSpacing/>
        <w:rPr>
          <w:rFonts w:ascii="Times New Roman" w:hAnsi="Times New Roman" w:cs="Times New Roman"/>
          <w:color w:val="auto"/>
          <w:sz w:val="24"/>
          <w:szCs w:val="24"/>
        </w:rPr>
      </w:pPr>
    </w:p>
    <w:p w14:paraId="70E8DDC3">
      <w:pPr>
        <w:pStyle w:val="86"/>
        <w:spacing w:before="288" w:beforeLines="120" w:after="288" w:afterLines="120" w:line="288" w:lineRule="auto"/>
        <w:ind w:left="0" w:firstLine="0"/>
        <w:contextualSpacing/>
        <w:rPr>
          <w:rFonts w:ascii="Times New Roman" w:hAnsi="Times New Roman" w:cs="Times New Roman"/>
          <w:iCs/>
          <w:color w:val="auto"/>
          <w:sz w:val="24"/>
          <w:szCs w:val="24"/>
        </w:rPr>
      </w:pPr>
      <w:r>
        <w:rPr>
          <w:rFonts w:ascii="Times New Roman" w:hAnsi="Times New Roman" w:cs="Times New Roman"/>
          <w:color w:val="auto"/>
          <w:sz w:val="24"/>
          <w:szCs w:val="24"/>
        </w:rPr>
        <w:t xml:space="preserve">5.1.3 </w:t>
      </w:r>
      <w:r>
        <w:rPr>
          <w:rFonts w:ascii="Times New Roman" w:hAnsi="Times New Roman" w:cs="Times New Roman"/>
          <w:sz w:val="24"/>
          <w:szCs w:val="24"/>
        </w:rPr>
        <w:t>Descrição do objeto, contendo as informações similares à especificação do Termo de Referência</w:t>
      </w:r>
      <w:r>
        <w:rPr>
          <w:rFonts w:ascii="Times New Roman" w:hAnsi="Times New Roman" w:cs="Times New Roman"/>
          <w:iCs/>
          <w:color w:val="auto"/>
          <w:sz w:val="24"/>
          <w:szCs w:val="24"/>
        </w:rPr>
        <w:t xml:space="preserve">; </w:t>
      </w:r>
    </w:p>
    <w:p w14:paraId="50ED2595">
      <w:pPr>
        <w:pStyle w:val="86"/>
        <w:spacing w:before="288" w:beforeLines="120" w:after="288" w:afterLines="120" w:line="288" w:lineRule="auto"/>
        <w:ind w:left="0" w:right="565" w:firstLine="0"/>
        <w:contextualSpacing/>
        <w:rPr>
          <w:rFonts w:ascii="Times New Roman" w:hAnsi="Times New Roman" w:cs="Times New Roman"/>
          <w:color w:val="auto"/>
          <w:sz w:val="24"/>
          <w:szCs w:val="24"/>
        </w:rPr>
      </w:pPr>
    </w:p>
    <w:p w14:paraId="2764141B">
      <w:pPr>
        <w:pStyle w:val="86"/>
        <w:spacing w:before="288" w:beforeLines="120" w:after="288" w:afterLines="120" w:line="288" w:lineRule="auto"/>
        <w:ind w:left="0" w:right="565" w:firstLine="0"/>
        <w:contextualSpacing/>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5.1.4 Quantidade cotada, que não poderá ser inferior ao quantitativo máximo de cada item que poderá ser adquirido.</w:t>
      </w:r>
    </w:p>
    <w:p w14:paraId="6CC35B80">
      <w:pPr>
        <w:pStyle w:val="83"/>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5.2 Todas as especificações do objeto contidas na proposta vinculam o licitante.</w:t>
      </w:r>
    </w:p>
    <w:p w14:paraId="40B9F583">
      <w:pPr>
        <w:pStyle w:val="86"/>
        <w:spacing w:line="288" w:lineRule="auto"/>
        <w:ind w:left="0" w:right="565"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5.2.1 O licitante não poderá oferecer proposta em quantitativo inferior ao máximo previsto para contratação.</w:t>
      </w:r>
    </w:p>
    <w:p w14:paraId="1E3F67B3">
      <w:pPr>
        <w:pStyle w:val="86"/>
        <w:spacing w:line="288" w:lineRule="auto"/>
        <w:ind w:left="0" w:firstLine="0"/>
        <w:contextualSpacing/>
        <w:rPr>
          <w:rFonts w:ascii="Times New Roman" w:hAnsi="Times New Roman" w:cs="Times New Roman"/>
          <w:color w:val="auto"/>
          <w:sz w:val="24"/>
          <w:szCs w:val="24"/>
        </w:rPr>
      </w:pPr>
    </w:p>
    <w:p w14:paraId="017A0EF4">
      <w:pPr>
        <w:pStyle w:val="86"/>
        <w:spacing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5.3 Nos valores propostos estarão inclusos todos os custos operacionais, encargos previdenciários, trabalhistas, tributários, comerciais e quaisquer outros que incidam direta ou indiretamente na execução do objeto.</w:t>
      </w:r>
    </w:p>
    <w:p w14:paraId="14705992">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5.4 Os preços ofertados, tanto na proposta inicial, quanto na etapa de lances, serão de exclusiva responsabilidade do licitante, não lhe assistindo o direito de pleitear qualquer alteração, sob alegação de erro, omissão ou qualquer outro pretexto.</w:t>
      </w:r>
    </w:p>
    <w:p w14:paraId="3528FA3A">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001441CA">
      <w:pPr>
        <w:pStyle w:val="83"/>
        <w:spacing w:before="288" w:beforeLines="120" w:after="288" w:afterLines="120" w:line="288" w:lineRule="auto"/>
        <w:ind w:left="0" w:firstLine="0"/>
        <w:contextualSpacing/>
        <w:rPr>
          <w:rFonts w:ascii="Times New Roman" w:hAnsi="Times New Roman" w:cs="Times New Roman"/>
          <w:color w:val="FF66FF"/>
          <w:sz w:val="24"/>
          <w:szCs w:val="24"/>
        </w:rPr>
      </w:pPr>
      <w:r>
        <w:rPr>
          <w:rFonts w:ascii="Times New Roman" w:hAnsi="Times New Roman" w:cs="Times New Roman"/>
          <w:color w:val="auto"/>
          <w:sz w:val="24"/>
          <w:szCs w:val="24"/>
        </w:rPr>
        <w:t xml:space="preserve">5.5 Se o regime tributário da empresa implicar o recolhimento de tributos em percentuais variáveis, a cotação adequada será a que corresponde à média dos efetivos recolhimentos da empresa nos últimos doze meses. </w:t>
      </w:r>
    </w:p>
    <w:p w14:paraId="242C9722">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5DAEC865">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5.6 Independentemente do percentual de tributo inserido na planilha, no pagamento serão retidos na fonte os percentuais estabelecidos na legislação vigente.</w:t>
      </w:r>
    </w:p>
    <w:p w14:paraId="154AB864">
      <w:pPr>
        <w:pStyle w:val="83"/>
        <w:spacing w:before="288" w:beforeLines="120" w:after="288" w:afterLines="120" w:line="288" w:lineRule="auto"/>
        <w:ind w:left="0" w:firstLine="0"/>
        <w:contextualSpacing/>
        <w:rPr>
          <w:rFonts w:ascii="Times New Roman" w:hAnsi="Times New Roman" w:cs="Times New Roman"/>
          <w:i/>
          <w:iCs/>
          <w:color w:val="FF0000"/>
          <w:sz w:val="24"/>
          <w:szCs w:val="24"/>
        </w:rPr>
      </w:pPr>
      <w:bookmarkStart w:id="22" w:name="_Hlk154227498"/>
    </w:p>
    <w:p w14:paraId="6E9084CE">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5.7</w:t>
      </w:r>
      <w:r>
        <w:rPr>
          <w:rFonts w:ascii="Times New Roman" w:hAnsi="Times New Roman" w:cs="Times New Roman"/>
          <w:color w:val="FF0000"/>
          <w:sz w:val="24"/>
          <w:szCs w:val="24"/>
        </w:rPr>
        <w:t xml:space="preserve"> </w:t>
      </w:r>
      <w:r>
        <w:rPr>
          <w:rFonts w:ascii="Times New Roman" w:hAnsi="Times New Roman" w:cs="Times New Roman"/>
          <w:color w:val="auto"/>
          <w:sz w:val="24"/>
          <w:szCs w:val="24"/>
        </w:rPr>
        <w:t>Na presente licitação, a Microempresa e a Empresa de Pequeno Porte poderão se beneficiar do regime de tributação pelo Simples Nacional.</w:t>
      </w:r>
    </w:p>
    <w:p w14:paraId="7BFC0A40">
      <w:pPr>
        <w:pStyle w:val="83"/>
        <w:spacing w:before="288" w:beforeLines="120" w:after="288" w:afterLines="120" w:line="288" w:lineRule="auto"/>
        <w:ind w:left="0" w:firstLine="0"/>
        <w:contextualSpacing/>
        <w:rPr>
          <w:rFonts w:ascii="Times New Roman" w:hAnsi="Times New Roman" w:cs="Times New Roman"/>
          <w:i/>
          <w:iCs/>
          <w:color w:val="FF0000"/>
          <w:sz w:val="24"/>
          <w:szCs w:val="24"/>
        </w:rPr>
      </w:pPr>
      <w:r>
        <w:rPr>
          <w:rFonts w:ascii="Times New Roman" w:hAnsi="Times New Roman" w:cs="Times New Roman"/>
          <w:sz w:val="24"/>
          <w:szCs w:val="24"/>
        </w:rPr>
        <w:t>5.8 O licitante cujo estabelecimento esteja localizado no Estado do Rio de Janeiro deverá apresentar proposta isenta de ICMS, quando cabível, de acordo com o Convênio CONFAZ nº 26/2003 e a Resolução SEFAZ nº 971/2016, sendo este valor considerado para efeito de competição na licitação.</w:t>
      </w:r>
      <w:bookmarkEnd w:id="22"/>
    </w:p>
    <w:p w14:paraId="0F223D0D">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2F8CE2AE">
      <w:pPr>
        <w:pStyle w:val="83"/>
        <w:spacing w:before="288" w:beforeLines="120" w:after="288" w:afterLines="120" w:line="288" w:lineRule="auto"/>
        <w:ind w:left="0" w:firstLine="0"/>
        <w:contextualSpacing/>
        <w:rPr>
          <w:rFonts w:ascii="Times New Roman" w:hAnsi="Times New Roman" w:cs="Times New Roman"/>
          <w:i/>
          <w:iCs/>
          <w:color w:val="FF0000"/>
          <w:sz w:val="24"/>
          <w:szCs w:val="24"/>
        </w:rPr>
      </w:pPr>
      <w:r>
        <w:rPr>
          <w:rFonts w:ascii="Times New Roman" w:hAnsi="Times New Roman" w:cs="Times New Roman"/>
          <w:color w:val="auto"/>
          <w:sz w:val="24"/>
          <w:szCs w:val="24"/>
        </w:rPr>
        <w:t>5.9 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4AE10793">
      <w:pPr>
        <w:pStyle w:val="83"/>
        <w:spacing w:before="288" w:beforeLines="120" w:after="288" w:afterLines="120" w:line="288" w:lineRule="auto"/>
        <w:ind w:left="0" w:firstLine="0"/>
        <w:contextualSpacing/>
        <w:rPr>
          <w:rFonts w:ascii="Times New Roman" w:hAnsi="Times New Roman" w:cs="Times New Roman"/>
          <w:sz w:val="24"/>
          <w:szCs w:val="24"/>
        </w:rPr>
      </w:pPr>
    </w:p>
    <w:p w14:paraId="35EC6E7D">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5.10 O prazo de validade da proposta não será inferior </w:t>
      </w:r>
      <w:r>
        <w:rPr>
          <w:rFonts w:ascii="Times New Roman" w:hAnsi="Times New Roman" w:cs="Times New Roman"/>
          <w:color w:val="000000" w:themeColor="text1"/>
          <w:sz w:val="24"/>
          <w:szCs w:val="24"/>
          <w14:textFill>
            <w14:solidFill>
              <w14:schemeClr w14:val="tx1"/>
            </w14:solidFill>
          </w14:textFill>
        </w:rPr>
        <w:t>a 60 (sessenta) dias corridos</w:t>
      </w:r>
      <w:r>
        <w:rPr>
          <w:rFonts w:ascii="Times New Roman" w:hAnsi="Times New Roman" w:cs="Times New Roman"/>
          <w:b/>
          <w:color w:val="000000" w:themeColor="text1"/>
          <w:sz w:val="24"/>
          <w:szCs w:val="24"/>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cs="Times New Roman"/>
          <w:sz w:val="24"/>
          <w:szCs w:val="24"/>
        </w:rPr>
        <w:t>a contar da data de sua apresentação, podendo ser prorrogado, por igual período, salvo se houver justificativa para prazo diverso aceita pela Administração.</w:t>
      </w:r>
    </w:p>
    <w:p w14:paraId="4A579451">
      <w:pPr>
        <w:pStyle w:val="83"/>
        <w:spacing w:before="288" w:beforeLines="120" w:after="288" w:afterLines="120" w:line="288" w:lineRule="auto"/>
        <w:ind w:left="0" w:firstLine="0"/>
        <w:contextualSpacing/>
        <w:rPr>
          <w:rFonts w:ascii="Times New Roman" w:hAnsi="Times New Roman" w:cs="Times New Roman"/>
          <w:sz w:val="24"/>
          <w:szCs w:val="24"/>
        </w:rPr>
      </w:pPr>
      <w:bookmarkStart w:id="23" w:name="_Hlk154229074"/>
    </w:p>
    <w:p w14:paraId="1CE1B847">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5.11 Os licitantes devem respeitar os preços máximos estabelecidos no Anexo deste Edital referente ao orçamento estimado (art. 59, III, da Lei nº 14.133/2021).</w:t>
      </w:r>
    </w:p>
    <w:p w14:paraId="1A672EE6">
      <w:pPr>
        <w:pStyle w:val="83"/>
        <w:spacing w:before="288" w:beforeLines="120" w:after="288" w:afterLines="120" w:line="288" w:lineRule="auto"/>
        <w:ind w:left="0" w:firstLine="0"/>
        <w:contextualSpacing/>
        <w:rPr>
          <w:rFonts w:ascii="Times New Roman" w:hAnsi="Times New Roman" w:cs="Times New Roman"/>
          <w:sz w:val="24"/>
          <w:szCs w:val="24"/>
        </w:rPr>
      </w:pPr>
    </w:p>
    <w:p w14:paraId="5180155A">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5.11.1  O descumprimento das regras supramencionadas pela Administração por parte dos contratados pode ensejar a responsabilização pelo Tribunal de Contas do Estado e, após o devido processo legal, gerar as seguintes consequências: assinatura de prazo para a adoção das medidas necessárias ao exato cumprimento da lei, nos termos do </w:t>
      </w:r>
      <w:r>
        <w:fldChar w:fldCharType="begin"/>
      </w:r>
      <w:r>
        <w:instrText xml:space="preserve"> HYPERLINK "https://www.planalto.gov.br/ccivil_03/constituicao/constituicaocompilado.htm" </w:instrText>
      </w:r>
      <w:r>
        <w:fldChar w:fldCharType="separate"/>
      </w:r>
      <w:r>
        <w:rPr>
          <w:rStyle w:val="14"/>
          <w:rFonts w:ascii="Times New Roman" w:hAnsi="Times New Roman" w:cs="Times New Roman" w:eastAsiaTheme="minorHAnsi"/>
          <w:color w:val="auto"/>
          <w:sz w:val="24"/>
          <w:szCs w:val="24"/>
        </w:rPr>
        <w:t>art. 71, inciso IX, da Constituição</w:t>
      </w:r>
      <w:r>
        <w:rPr>
          <w:rStyle w:val="14"/>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ou condenação dos agentes públicos responsáveis e da empresa contratada ao pagamento dos prejuízos ao erário, caso verificada a ocorrência de superfaturamento por sobrepreço na execução do contrato.</w:t>
      </w:r>
    </w:p>
    <w:bookmarkEnd w:id="23"/>
    <w:p w14:paraId="39BFF536">
      <w:pPr>
        <w:pStyle w:val="81"/>
        <w:spacing w:before="0" w:beforeAutospacing="0" w:after="0" w:afterAutospacing="0" w:line="288" w:lineRule="auto"/>
        <w:contextualSpacing/>
        <w:jc w:val="both"/>
        <w:rPr>
          <w:rFonts w:eastAsia="Calibri"/>
          <w:b/>
          <w:bCs/>
          <w:lang w:eastAsia="en-US"/>
        </w:rPr>
      </w:pPr>
      <w:r>
        <w:rPr>
          <w:rFonts w:eastAsia="Calibri"/>
          <w:b/>
          <w:bCs/>
          <w:lang w:eastAsia="en-US"/>
        </w:rPr>
        <w:t>6. DA ABERTURA DA SESSÃO, CLASSIFICAÇÃO DAS PROPOSTAS E FORMULAÇÃO DE LANCES</w:t>
      </w:r>
    </w:p>
    <w:p w14:paraId="142EF874">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 A abertura da presente licitação dar-se-á em sessão pública, por meio de sistema eletrônico, na data, horário e local indicados neste Edital.</w:t>
      </w:r>
    </w:p>
    <w:p w14:paraId="68FE39D4">
      <w:pPr>
        <w:pStyle w:val="83"/>
        <w:spacing w:before="288" w:beforeLines="120" w:after="288" w:afterLines="120" w:line="288" w:lineRule="auto"/>
        <w:ind w:left="0" w:firstLine="0"/>
        <w:contextualSpacing/>
        <w:rPr>
          <w:rFonts w:ascii="Times New Roman" w:hAnsi="Times New Roman" w:cs="Times New Roman"/>
          <w:sz w:val="24"/>
          <w:szCs w:val="24"/>
        </w:rPr>
      </w:pPr>
    </w:p>
    <w:p w14:paraId="7BFD62FD">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6.2 Os licitantes poderão retirar ou substituir a proposta </w:t>
      </w:r>
      <w:r>
        <w:rPr>
          <w:rFonts w:ascii="Times New Roman" w:hAnsi="Times New Roman" w:cs="Times New Roman"/>
          <w:color w:val="auto"/>
          <w:sz w:val="24"/>
          <w:szCs w:val="24"/>
        </w:rPr>
        <w:t>ou os documentos de habilitação</w:t>
      </w:r>
      <w:r>
        <w:rPr>
          <w:rFonts w:ascii="Times New Roman" w:hAnsi="Times New Roman" w:cs="Times New Roman"/>
          <w:sz w:val="24"/>
          <w:szCs w:val="24"/>
        </w:rPr>
        <w:t>, quando for o caso, anteriormente inseridos no sistema, até a abertura da sessão pública.</w:t>
      </w:r>
    </w:p>
    <w:p w14:paraId="42CB701B">
      <w:pPr>
        <w:pStyle w:val="83"/>
        <w:spacing w:before="288" w:beforeLines="120" w:after="288" w:afterLines="120" w:line="288" w:lineRule="auto"/>
        <w:ind w:left="0" w:firstLine="0"/>
        <w:contextualSpacing/>
        <w:rPr>
          <w:rFonts w:ascii="Times New Roman" w:hAnsi="Times New Roman" w:cs="Times New Roman"/>
          <w:sz w:val="24"/>
          <w:szCs w:val="24"/>
        </w:rPr>
      </w:pPr>
    </w:p>
    <w:p w14:paraId="1198A0BD">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6.3 O sistema disponibilizará campo próprio para troca de mensagens entre o Pregoeiro e os licitantes.</w:t>
      </w:r>
    </w:p>
    <w:p w14:paraId="275B3FD7">
      <w:pPr>
        <w:pStyle w:val="83"/>
        <w:spacing w:before="288" w:beforeLines="120" w:after="288" w:afterLines="120" w:line="288" w:lineRule="auto"/>
        <w:ind w:left="0" w:firstLine="0"/>
        <w:contextualSpacing/>
        <w:rPr>
          <w:rFonts w:ascii="Times New Roman" w:hAnsi="Times New Roman" w:cs="Times New Roman"/>
          <w:sz w:val="24"/>
          <w:szCs w:val="24"/>
        </w:rPr>
      </w:pPr>
    </w:p>
    <w:p w14:paraId="72ACD206">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6.4 Iniciada a etapa competitiva, os licitantes deverão encaminhar lances exclusivamente por meio de sistema eletrônico, sendo imediatamente informados do seu recebimento e do valor consignado no registro. </w:t>
      </w:r>
    </w:p>
    <w:p w14:paraId="6B0235D9">
      <w:pPr>
        <w:pStyle w:val="83"/>
        <w:spacing w:before="288" w:beforeLines="120" w:after="288" w:afterLines="120" w:line="288" w:lineRule="auto"/>
        <w:ind w:left="0" w:firstLine="0"/>
        <w:contextualSpacing/>
        <w:rPr>
          <w:rFonts w:ascii="Times New Roman" w:hAnsi="Times New Roman" w:cs="Times New Roman"/>
          <w:color w:val="FF0000"/>
          <w:sz w:val="24"/>
          <w:szCs w:val="24"/>
        </w:rPr>
      </w:pPr>
    </w:p>
    <w:p w14:paraId="4ED8C7D5">
      <w:pPr>
        <w:pStyle w:val="83"/>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6.5 O lance deverá ser ofertado pelo valor unitário do item.</w:t>
      </w:r>
    </w:p>
    <w:p w14:paraId="6A923D87">
      <w:pPr>
        <w:pStyle w:val="83"/>
        <w:spacing w:before="288" w:beforeLines="120" w:after="288" w:afterLines="120" w:line="288" w:lineRule="auto"/>
        <w:ind w:left="0" w:firstLine="0"/>
        <w:contextualSpacing/>
        <w:rPr>
          <w:rFonts w:ascii="Times New Roman" w:hAnsi="Times New Roman" w:cs="Times New Roman"/>
          <w:sz w:val="24"/>
          <w:szCs w:val="24"/>
        </w:rPr>
      </w:pPr>
    </w:p>
    <w:p w14:paraId="6E700FDB">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6.6 Os licitantes poderão oferecer lances sucessivos, observando o horário fixado para abertura da sessão e as regras estabelecidas no Edital.</w:t>
      </w:r>
    </w:p>
    <w:p w14:paraId="5C1D40CA">
      <w:pPr>
        <w:pStyle w:val="83"/>
        <w:spacing w:before="288" w:beforeLines="120" w:after="288" w:afterLines="120" w:line="288" w:lineRule="auto"/>
        <w:ind w:left="0" w:firstLine="0"/>
        <w:contextualSpacing/>
        <w:rPr>
          <w:rFonts w:ascii="Times New Roman" w:hAnsi="Times New Roman" w:cs="Times New Roman"/>
          <w:sz w:val="24"/>
          <w:szCs w:val="24"/>
        </w:rPr>
      </w:pPr>
    </w:p>
    <w:p w14:paraId="694B6583">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6.7 O licitante somente poderá oferecer lance </w:t>
      </w:r>
      <w:r>
        <w:rPr>
          <w:rFonts w:ascii="Times New Roman" w:hAnsi="Times New Roman" w:cs="Times New Roman"/>
          <w:iCs/>
          <w:color w:val="auto"/>
          <w:sz w:val="24"/>
          <w:szCs w:val="24"/>
        </w:rPr>
        <w:t>de valor inferior ou percentual de desconto superior</w:t>
      </w:r>
      <w:r>
        <w:rPr>
          <w:rFonts w:ascii="Times New Roman" w:hAnsi="Times New Roman" w:cs="Times New Roman"/>
          <w:color w:val="auto"/>
          <w:sz w:val="24"/>
          <w:szCs w:val="24"/>
        </w:rPr>
        <w:t xml:space="preserve"> </w:t>
      </w:r>
      <w:r>
        <w:rPr>
          <w:rFonts w:ascii="Times New Roman" w:hAnsi="Times New Roman" w:cs="Times New Roman"/>
          <w:sz w:val="24"/>
          <w:szCs w:val="24"/>
        </w:rPr>
        <w:t xml:space="preserve">ao último por ele ofertado e registrado pelo sistema. </w:t>
      </w:r>
    </w:p>
    <w:p w14:paraId="0C825485">
      <w:pPr>
        <w:pStyle w:val="83"/>
        <w:spacing w:before="288" w:beforeLines="120" w:after="288" w:afterLines="120" w:line="288" w:lineRule="auto"/>
        <w:ind w:left="0" w:firstLine="0"/>
        <w:contextualSpacing/>
        <w:rPr>
          <w:rFonts w:ascii="Times New Roman" w:hAnsi="Times New Roman" w:cs="Times New Roman"/>
          <w:sz w:val="24"/>
          <w:szCs w:val="24"/>
        </w:rPr>
      </w:pPr>
    </w:p>
    <w:p w14:paraId="7EF12471">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6.8 O intervalo mínimo de diferença de valores ou percentuais entre os lances, que incidirá tanto em relação aos lances intermediários quanto em relação à proposta que cobrir a melhor oferta, deverá </w:t>
      </w:r>
      <w:r>
        <w:rPr>
          <w:rFonts w:ascii="Times New Roman" w:hAnsi="Times New Roman" w:cs="Times New Roman"/>
          <w:color w:val="auto"/>
          <w:sz w:val="24"/>
          <w:szCs w:val="24"/>
        </w:rPr>
        <w:t>ser de 0,01(um centavo)</w:t>
      </w:r>
      <w:r>
        <w:rPr>
          <w:rFonts w:ascii="Times New Roman" w:hAnsi="Times New Roman" w:cs="Times New Roman"/>
          <w:i/>
          <w:iCs/>
          <w:sz w:val="24"/>
          <w:szCs w:val="24"/>
        </w:rPr>
        <w:t>.</w:t>
      </w:r>
    </w:p>
    <w:p w14:paraId="040FF0C0">
      <w:pPr>
        <w:pStyle w:val="83"/>
        <w:spacing w:before="288" w:beforeLines="120" w:after="288" w:afterLines="120" w:line="288" w:lineRule="auto"/>
        <w:ind w:left="0" w:firstLine="0"/>
        <w:contextualSpacing/>
        <w:rPr>
          <w:rFonts w:ascii="Times New Roman" w:hAnsi="Times New Roman" w:cs="Times New Roman"/>
          <w:color w:val="FF0000"/>
          <w:sz w:val="24"/>
          <w:szCs w:val="24"/>
        </w:rPr>
      </w:pPr>
    </w:p>
    <w:p w14:paraId="7293A63A">
      <w:pPr>
        <w:pStyle w:val="83"/>
        <w:spacing w:before="288" w:beforeLines="120" w:after="288" w:afterLines="120" w:line="288" w:lineRule="auto"/>
        <w:ind w:left="0" w:firstLine="0"/>
        <w:contextualSpacing/>
        <w:rPr>
          <w:rFonts w:ascii="Times New Roman" w:hAnsi="Times New Roman" w:cs="Times New Roman"/>
          <w:color w:val="FF0000"/>
          <w:sz w:val="24"/>
          <w:szCs w:val="24"/>
        </w:rPr>
      </w:pPr>
      <w:r>
        <w:rPr>
          <w:rFonts w:ascii="Times New Roman" w:hAnsi="Times New Roman" w:cs="Times New Roman"/>
          <w:color w:val="auto"/>
          <w:sz w:val="24"/>
          <w:szCs w:val="24"/>
        </w:rPr>
        <w:t>6.9</w:t>
      </w:r>
      <w:r>
        <w:rPr>
          <w:rFonts w:ascii="Times New Roman" w:hAnsi="Times New Roman" w:cs="Times New Roman"/>
          <w:color w:val="FF0000"/>
          <w:sz w:val="24"/>
          <w:szCs w:val="24"/>
        </w:rPr>
        <w:t xml:space="preserve"> </w:t>
      </w:r>
      <w:r>
        <w:rPr>
          <w:rFonts w:ascii="Times New Roman" w:hAnsi="Times New Roman" w:cs="Times New Roman"/>
          <w:color w:val="auto"/>
          <w:sz w:val="24"/>
          <w:szCs w:val="24"/>
        </w:rPr>
        <w:t xml:space="preserve">Em caso de erro material, ao licitante será concedida a possibilidade de enviar solicitação de cancelamento do seu lance durante a realização da etapa de lances da sessão pública, que poderá ser aceita ou não pelo Pregoeiro. </w:t>
      </w:r>
    </w:p>
    <w:p w14:paraId="255CECEB">
      <w:pPr>
        <w:pStyle w:val="83"/>
        <w:spacing w:before="288" w:beforeLines="120" w:after="288" w:afterLines="120" w:line="288" w:lineRule="auto"/>
        <w:ind w:left="0" w:firstLine="0"/>
        <w:contextualSpacing/>
        <w:rPr>
          <w:rFonts w:ascii="Times New Roman" w:hAnsi="Times New Roman" w:cs="Times New Roman"/>
          <w:color w:val="FF0000"/>
          <w:sz w:val="24"/>
          <w:szCs w:val="24"/>
        </w:rPr>
      </w:pPr>
    </w:p>
    <w:p w14:paraId="78F9B1EF">
      <w:pPr>
        <w:pStyle w:val="83"/>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6.9.1 O licitante poderá, uma única vez, excluir seu último lance ofertado, no intervalo de quinze segundos após o registro no sistema, na hipótese de lance inconsistente ou inexequível.</w:t>
      </w:r>
    </w:p>
    <w:p w14:paraId="1E2C115E">
      <w:pPr>
        <w:pStyle w:val="83"/>
        <w:spacing w:before="288" w:beforeLines="120" w:after="288" w:afterLines="120" w:line="288" w:lineRule="auto"/>
        <w:ind w:left="567" w:right="565" w:firstLine="0"/>
        <w:contextualSpacing/>
        <w:rPr>
          <w:rFonts w:ascii="Times New Roman" w:hAnsi="Times New Roman" w:cs="Times New Roman"/>
          <w:sz w:val="24"/>
          <w:szCs w:val="24"/>
        </w:rPr>
      </w:pPr>
    </w:p>
    <w:p w14:paraId="1BA2FA39">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6.10 O procedimento seguirá de acordo com o modo de disputa adotado.</w:t>
      </w:r>
    </w:p>
    <w:p w14:paraId="32A2999A">
      <w:pPr>
        <w:pStyle w:val="106"/>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bookmarkStart w:id="24" w:name="_Hlk113631522"/>
      <w:r>
        <w:rPr>
          <w:rFonts w:ascii="Times New Roman" w:hAnsi="Times New Roman" w:cs="Times New Roman"/>
          <w:color w:val="000000" w:themeColor="text1"/>
          <w:sz w:val="24"/>
          <w:szCs w:val="24"/>
          <w14:textFill>
            <w14:solidFill>
              <w14:schemeClr w14:val="tx1"/>
            </w14:solidFill>
          </w14:textFill>
        </w:rPr>
        <w:t>6.11 O envio de lances no pregão eletrônico se dará pelo modo de disputa “aberto e fechado”, devendo os licitantes apresentar lances públicos e sucessivos, com lance final e fechado.</w:t>
      </w:r>
    </w:p>
    <w:p w14:paraId="7B50D7EF">
      <w:pPr>
        <w:pStyle w:val="106"/>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22EB7C58">
      <w:pPr>
        <w:pStyle w:val="106"/>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6.11.1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21604432">
      <w:pPr>
        <w:pStyle w:val="106"/>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3F0DF5D0">
      <w:pPr>
        <w:pStyle w:val="106"/>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6.11.2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6F08D7DB">
      <w:pPr>
        <w:pStyle w:val="106"/>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159C0F19">
      <w:pPr>
        <w:pStyle w:val="106"/>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6.11.3 No procedimento de que trata o subitem supra, o licitante poderá optar por manter o seu último lance da etapa aberta, ou por ofertar melhor lance.</w:t>
      </w:r>
    </w:p>
    <w:p w14:paraId="645E73B9">
      <w:pPr>
        <w:pStyle w:val="106"/>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1EFBE017">
      <w:pPr>
        <w:pStyle w:val="106"/>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6.11.4 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36E1ED6D">
      <w:pPr>
        <w:pStyle w:val="106"/>
        <w:tabs>
          <w:tab w:val="left" w:pos="8080"/>
        </w:tabs>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3FD09A10">
      <w:pPr>
        <w:pStyle w:val="106"/>
        <w:tabs>
          <w:tab w:val="left" w:pos="8080"/>
        </w:tabs>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6.11.5 Após o término dos prazos estabelecidos nos itens anteriores, o sistema ordenará e divulgará os lances segundo a ordem crescente de valores.</w:t>
      </w:r>
    </w:p>
    <w:p w14:paraId="40B32B22">
      <w:pPr>
        <w:pStyle w:val="106"/>
        <w:spacing w:line="288" w:lineRule="auto"/>
        <w:ind w:left="567" w:right="565"/>
        <w:contextualSpacing/>
        <w:rPr>
          <w:rFonts w:ascii="Times New Roman" w:hAnsi="Times New Roman" w:cs="Times New Roman"/>
          <w:color w:val="FF0000"/>
          <w:sz w:val="24"/>
          <w:szCs w:val="24"/>
        </w:rPr>
      </w:pPr>
    </w:p>
    <w:bookmarkEnd w:id="24"/>
    <w:p w14:paraId="77915376">
      <w:pPr>
        <w:pStyle w:val="106"/>
        <w:spacing w:line="288" w:lineRule="auto"/>
        <w:ind w:left="0"/>
        <w:contextualSpacing/>
        <w:rPr>
          <w:rFonts w:ascii="Times New Roman" w:hAnsi="Times New Roman" w:cs="Times New Roman"/>
          <w:i/>
          <w:sz w:val="24"/>
          <w:szCs w:val="24"/>
        </w:rPr>
      </w:pPr>
      <w:r>
        <w:rPr>
          <w:rFonts w:ascii="Times New Roman" w:hAnsi="Times New Roman" w:cs="Times New Roman"/>
          <w:sz w:val="24"/>
          <w:szCs w:val="24"/>
        </w:rPr>
        <w:t>6.12 Após o término dos prazos estabelecidos nos subitens anteriores, o sistema ordenará e divulgará os lances segundo a ordem crescente de valores</w:t>
      </w:r>
      <w:r>
        <w:rPr>
          <w:rFonts w:ascii="Times New Roman" w:hAnsi="Times New Roman" w:cs="Times New Roman"/>
          <w:i/>
          <w:iCs/>
          <w:sz w:val="24"/>
          <w:szCs w:val="24"/>
        </w:rPr>
        <w:t>.</w:t>
      </w:r>
    </w:p>
    <w:p w14:paraId="1D3BD3AD">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6.13 Não serão aceitos dois ou mais lances de mesmo valor, prevalecendo aquele que for recebido e registrado em primeiro lugar. </w:t>
      </w:r>
    </w:p>
    <w:p w14:paraId="1B34466D">
      <w:pPr>
        <w:pStyle w:val="83"/>
        <w:spacing w:before="288" w:beforeLines="120" w:after="288" w:afterLines="120" w:line="288" w:lineRule="auto"/>
        <w:ind w:left="0" w:firstLine="0"/>
        <w:contextualSpacing/>
        <w:rPr>
          <w:rFonts w:ascii="Times New Roman" w:hAnsi="Times New Roman" w:cs="Times New Roman"/>
          <w:sz w:val="24"/>
          <w:szCs w:val="24"/>
        </w:rPr>
      </w:pPr>
    </w:p>
    <w:p w14:paraId="3F7E8E60">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6.14 Durante o transcurso da sessão pública, os licitantes serão informados, em tempo real, do valor do menor lance registrado, vedada a identificação do licitante. </w:t>
      </w:r>
    </w:p>
    <w:p w14:paraId="7528DD5A">
      <w:pPr>
        <w:pStyle w:val="83"/>
        <w:spacing w:before="288" w:beforeLines="120" w:after="288" w:afterLines="120" w:line="288" w:lineRule="auto"/>
        <w:ind w:left="0" w:firstLine="0"/>
        <w:contextualSpacing/>
        <w:rPr>
          <w:rFonts w:ascii="Times New Roman" w:hAnsi="Times New Roman" w:cs="Times New Roman"/>
          <w:sz w:val="24"/>
          <w:szCs w:val="24"/>
        </w:rPr>
      </w:pPr>
    </w:p>
    <w:p w14:paraId="3BC0B5CA">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6.15 No caso de desconexão com o Pregoeiro, no decorrer da etapa competitiva do Pregão, o sistema eletrônico poderá permanecer acessível aos licitantes para a recepção dos lances. </w:t>
      </w:r>
    </w:p>
    <w:p w14:paraId="6B0AD607">
      <w:pPr>
        <w:pStyle w:val="83"/>
        <w:spacing w:before="288" w:beforeLines="120" w:after="288" w:afterLines="120" w:line="288" w:lineRule="auto"/>
        <w:ind w:left="0" w:firstLine="0"/>
        <w:contextualSpacing/>
        <w:rPr>
          <w:rFonts w:ascii="Times New Roman" w:hAnsi="Times New Roman" w:cs="Times New Roman"/>
          <w:sz w:val="24"/>
          <w:szCs w:val="24"/>
        </w:rPr>
      </w:pPr>
    </w:p>
    <w:p w14:paraId="19C1CDF8">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6.16 Quando a desconexão do sistema eletrônico para o Pregoeiro persistir por tempo superior a dez minutos, a sessão pública será suspensa e reiniciada somente após decorridas vinte e quatro horas da comunicação do fato pelo Pregoeiro aos participantes, quando houver, no sítio eletrônico utilizado para divulgação.</w:t>
      </w:r>
    </w:p>
    <w:p w14:paraId="3B076DA6">
      <w:pPr>
        <w:pStyle w:val="83"/>
        <w:spacing w:before="288" w:beforeLines="120" w:after="288" w:afterLines="120" w:line="288" w:lineRule="auto"/>
        <w:ind w:left="0" w:firstLine="0"/>
        <w:contextualSpacing/>
        <w:rPr>
          <w:rFonts w:ascii="Times New Roman" w:hAnsi="Times New Roman" w:cs="Times New Roman"/>
          <w:sz w:val="24"/>
          <w:szCs w:val="24"/>
        </w:rPr>
      </w:pPr>
    </w:p>
    <w:p w14:paraId="270648E1">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6.17 Caso o licitante não apresente lances, concorrerá com o valor de sua proposta.</w:t>
      </w:r>
    </w:p>
    <w:p w14:paraId="3726B5D5">
      <w:pPr>
        <w:pStyle w:val="83"/>
        <w:spacing w:before="288" w:beforeLines="120" w:after="288" w:afterLines="120" w:line="288" w:lineRule="auto"/>
        <w:ind w:left="0" w:firstLine="0"/>
        <w:contextualSpacing/>
        <w:rPr>
          <w:rFonts w:ascii="Times New Roman" w:hAnsi="Times New Roman" w:cs="Times New Roman"/>
          <w:color w:val="FF0000"/>
          <w:sz w:val="24"/>
          <w:szCs w:val="24"/>
        </w:rPr>
      </w:pPr>
    </w:p>
    <w:p w14:paraId="631A7AE7">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6.18 Em relação a itens não exclusivos para participação de microempresas e empresas de pequeno porte, uma vez encerrada a etapa de lances</w:t>
      </w:r>
      <w:r>
        <w:rPr>
          <w:rFonts w:ascii="Times New Roman" w:hAnsi="Times New Roman" w:eastAsia="Zurich BT" w:cs="Times New Roman"/>
          <w:color w:val="auto"/>
          <w:sz w:val="24"/>
          <w:szCs w:val="24"/>
        </w:rPr>
        <w:t xml:space="preserve">, será efetivada a verificação das microempresas e empresas de pequeno porte participantes, procedendo à comparação com os valores da primeira colocada, se esta for empresa de maior porte, assim como das demais classificadas, para o fim de aplicar-se o disposto nos </w:t>
      </w:r>
      <w:r>
        <w:fldChar w:fldCharType="begin"/>
      </w:r>
      <w:r>
        <w:instrText xml:space="preserve"> HYPERLINK "https://www.planalto.gov.br/ccivil_03/leis/lcp/lcp123.htm" \l "art44" </w:instrText>
      </w:r>
      <w:r>
        <w:fldChar w:fldCharType="separate"/>
      </w:r>
      <w:r>
        <w:rPr>
          <w:rStyle w:val="14"/>
          <w:rFonts w:ascii="Times New Roman" w:hAnsi="Times New Roman" w:eastAsia="Zurich BT" w:cs="Times New Roman"/>
          <w:color w:val="auto"/>
          <w:sz w:val="24"/>
          <w:szCs w:val="24"/>
        </w:rPr>
        <w:t>arts. 44 e 45 da Lei Complementar nº 123/2006</w:t>
      </w:r>
      <w:r>
        <w:rPr>
          <w:rStyle w:val="14"/>
          <w:rFonts w:ascii="Times New Roman" w:hAnsi="Times New Roman" w:eastAsia="Zurich BT" w:cs="Times New Roman"/>
          <w:color w:val="auto"/>
          <w:sz w:val="24"/>
          <w:szCs w:val="24"/>
        </w:rPr>
        <w:fldChar w:fldCharType="end"/>
      </w:r>
      <w:r>
        <w:rPr>
          <w:rFonts w:ascii="Times New Roman" w:hAnsi="Times New Roman" w:eastAsia="Zurich BT" w:cs="Times New Roman"/>
          <w:color w:val="auto"/>
          <w:sz w:val="24"/>
          <w:szCs w:val="24"/>
        </w:rPr>
        <w:t xml:space="preserve">, regulamentada pelo </w:t>
      </w:r>
      <w:r>
        <w:rPr>
          <w:rFonts w:ascii="Times New Roman" w:hAnsi="Times New Roman" w:cs="Times New Roman"/>
          <w:sz w:val="24"/>
          <w:szCs w:val="24"/>
        </w:rPr>
        <w:t>Lei Municipal nº 2367/2007.</w:t>
      </w:r>
    </w:p>
    <w:p w14:paraId="09E9D78C">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32741689">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6.18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Lei Complementar nº 123/2006, </w:t>
      </w:r>
      <w:r>
        <w:rPr>
          <w:rFonts w:ascii="Times New Roman" w:hAnsi="Times New Roman" w:eastAsia="Zurich BT" w:cs="Times New Roman"/>
          <w:color w:val="auto"/>
          <w:sz w:val="24"/>
          <w:szCs w:val="24"/>
        </w:rPr>
        <w:t xml:space="preserve">regulamentada pelo </w:t>
      </w:r>
      <w:r>
        <w:rPr>
          <w:rFonts w:ascii="Times New Roman" w:hAnsi="Times New Roman" w:cs="Times New Roman"/>
          <w:sz w:val="24"/>
          <w:szCs w:val="24"/>
        </w:rPr>
        <w:t>Lei Municipal nº 2367/2007.</w:t>
      </w:r>
    </w:p>
    <w:p w14:paraId="2A916215">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4CB24C13">
      <w:pPr>
        <w:pStyle w:val="83"/>
        <w:spacing w:before="288" w:beforeLines="120" w:after="288" w:afterLines="120" w:line="288" w:lineRule="auto"/>
        <w:ind w:left="0" w:right="-2" w:firstLine="0"/>
        <w:contextualSpacing/>
        <w:rPr>
          <w:rFonts w:ascii="Times New Roman" w:hAnsi="Times New Roman" w:cs="Times New Roman"/>
          <w:sz w:val="24"/>
          <w:szCs w:val="24"/>
        </w:rPr>
      </w:pPr>
    </w:p>
    <w:p w14:paraId="6F1D61C5">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6.18.1 Nessas condições, as propostas de </w:t>
      </w:r>
      <w:r>
        <w:rPr>
          <w:rFonts w:ascii="Times New Roman" w:hAnsi="Times New Roman" w:eastAsia="Zurich BT" w:cs="Times New Roman"/>
          <w:sz w:val="24"/>
          <w:szCs w:val="24"/>
        </w:rPr>
        <w:t xml:space="preserve">microempresas e empresas de pequeno porte </w:t>
      </w:r>
      <w:r>
        <w:rPr>
          <w:rFonts w:ascii="Times New Roman" w:hAnsi="Times New Roman" w:cs="Times New Roman"/>
          <w:sz w:val="24"/>
          <w:szCs w:val="24"/>
        </w:rPr>
        <w:t>que se encontrarem na faixa de até 5% (cinco por cento) acima da melhor proposta ou melhor lance serão consideradas empatadas com a primeira colocada.</w:t>
      </w:r>
    </w:p>
    <w:p w14:paraId="553CBFD8">
      <w:pPr>
        <w:pStyle w:val="86"/>
        <w:spacing w:before="288" w:beforeLines="120" w:after="288" w:afterLines="120" w:line="288" w:lineRule="auto"/>
        <w:ind w:left="0" w:firstLine="0"/>
        <w:contextualSpacing/>
        <w:rPr>
          <w:rFonts w:ascii="Times New Roman" w:hAnsi="Times New Roman" w:cs="Times New Roman"/>
          <w:sz w:val="24"/>
          <w:szCs w:val="24"/>
        </w:rPr>
      </w:pPr>
    </w:p>
    <w:p w14:paraId="1698B649">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6.18.2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7B95C8CF">
      <w:pPr>
        <w:pStyle w:val="86"/>
        <w:spacing w:before="288" w:beforeLines="120" w:after="288" w:afterLines="120" w:line="288" w:lineRule="auto"/>
        <w:ind w:left="0" w:firstLine="0"/>
        <w:contextualSpacing/>
        <w:rPr>
          <w:rFonts w:ascii="Times New Roman" w:hAnsi="Times New Roman" w:cs="Times New Roman"/>
          <w:sz w:val="24"/>
          <w:szCs w:val="24"/>
        </w:rPr>
      </w:pPr>
    </w:p>
    <w:p w14:paraId="59EBC536">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6.18.3 Caso a </w:t>
      </w:r>
      <w:r>
        <w:rPr>
          <w:rFonts w:ascii="Times New Roman" w:hAnsi="Times New Roman" w:eastAsia="Zurich BT" w:cs="Times New Roman"/>
          <w:sz w:val="24"/>
          <w:szCs w:val="24"/>
        </w:rPr>
        <w:t>microempresa ou a empresa de pequeno porte</w:t>
      </w:r>
      <w:r>
        <w:rPr>
          <w:rFonts w:ascii="Times New Roman" w:hAnsi="Times New Roman" w:cs="Times New Roman"/>
          <w:sz w:val="24"/>
          <w:szCs w:val="24"/>
        </w:rPr>
        <w:t xml:space="preserve"> melhor classificada desista ou não se manifeste no prazo estabelecido, serão convocadas as demais licitantes </w:t>
      </w:r>
      <w:r>
        <w:rPr>
          <w:rFonts w:ascii="Times New Roman" w:hAnsi="Times New Roman" w:eastAsia="Zurich BT" w:cs="Times New Roman"/>
          <w:sz w:val="24"/>
          <w:szCs w:val="24"/>
        </w:rPr>
        <w:t>microempresa e empresa de pequeno porte</w:t>
      </w:r>
      <w:r>
        <w:rPr>
          <w:rFonts w:ascii="Times New Roman" w:hAnsi="Times New Roman" w:cs="Times New Roman"/>
          <w:sz w:val="24"/>
          <w:szCs w:val="24"/>
        </w:rPr>
        <w:t xml:space="preserve"> que se encontrem naquele intervalo de 5% (cinco por cento), na ordem de classificação, para o exercício do mesmo direito, no prazo estabelecido no subitem anterior.</w:t>
      </w:r>
    </w:p>
    <w:p w14:paraId="44F99FE7">
      <w:pPr>
        <w:pStyle w:val="83"/>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6.18.4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778415A">
      <w:pPr>
        <w:pStyle w:val="83"/>
        <w:spacing w:before="288" w:beforeLines="120" w:after="288" w:afterLines="120" w:line="288" w:lineRule="auto"/>
        <w:ind w:left="0" w:firstLine="0"/>
        <w:contextualSpacing/>
        <w:rPr>
          <w:rFonts w:ascii="Times New Roman" w:hAnsi="Times New Roman" w:cs="Times New Roman"/>
          <w:sz w:val="24"/>
          <w:szCs w:val="24"/>
        </w:rPr>
      </w:pPr>
    </w:p>
    <w:p w14:paraId="1B6FEAC5">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6.19 Só poderá haver empate entre propostas iguais (não seguidas de lances) ou entre lances finais da fase fechada do modo de disputa aberto e fechado. </w:t>
      </w:r>
    </w:p>
    <w:p w14:paraId="2F8E4F93">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6.19.1 Havendo eventual empate entre propostas ou lances, o critério de desempate será o abaixo previsto, nesta ordem:</w:t>
      </w:r>
    </w:p>
    <w:p w14:paraId="018F833D">
      <w:pPr>
        <w:pStyle w:val="86"/>
        <w:spacing w:before="288" w:beforeLines="120" w:after="288" w:afterLines="120" w:line="288" w:lineRule="auto"/>
        <w:ind w:left="0" w:firstLine="0"/>
        <w:contextualSpacing/>
        <w:jc w:val="left"/>
        <w:rPr>
          <w:rFonts w:ascii="Times New Roman" w:hAnsi="Times New Roman" w:cs="Times New Roman"/>
          <w:color w:val="auto"/>
          <w:sz w:val="24"/>
          <w:szCs w:val="24"/>
        </w:rPr>
      </w:pPr>
      <w:r>
        <w:rPr>
          <w:rFonts w:ascii="Times New Roman" w:hAnsi="Times New Roman" w:cs="Times New Roman"/>
          <w:color w:val="333333"/>
          <w:sz w:val="24"/>
          <w:szCs w:val="24"/>
        </w:rPr>
        <w:br w:type="textWrapping"/>
      </w:r>
      <w:r>
        <w:rPr>
          <w:rFonts w:ascii="Times New Roman" w:hAnsi="Times New Roman" w:cs="Times New Roman"/>
          <w:color w:val="auto"/>
          <w:sz w:val="24"/>
          <w:szCs w:val="24"/>
          <w:shd w:val="clear" w:color="auto" w:fill="F5F5F5"/>
        </w:rPr>
        <w:t>I - contratação de microempresas e empresas de pequeno porte, nos termos dos arts. 44 e 45 da Lei Complementar nº </w:t>
      </w:r>
      <w:r>
        <w:fldChar w:fldCharType="begin"/>
      </w:r>
      <w:r>
        <w:instrText xml:space="preserve"> HYPERLINK "http://www.planalto.gov.br/ccivil_03/leis/lcp/lcp123.htm" </w:instrText>
      </w:r>
      <w:r>
        <w:fldChar w:fldCharType="separate"/>
      </w:r>
      <w:r>
        <w:rPr>
          <w:rStyle w:val="14"/>
          <w:rFonts w:ascii="Times New Roman" w:hAnsi="Times New Roman" w:cs="Times New Roman" w:eastAsiaTheme="minorHAnsi"/>
          <w:color w:val="auto"/>
          <w:sz w:val="24"/>
          <w:szCs w:val="24"/>
          <w:shd w:val="clear" w:color="auto" w:fill="F5F5F5"/>
        </w:rPr>
        <w:t>123</w:t>
      </w:r>
      <w:r>
        <w:rPr>
          <w:rStyle w:val="14"/>
          <w:rFonts w:ascii="Times New Roman" w:hAnsi="Times New Roman" w:cs="Times New Roman" w:eastAsiaTheme="minorHAnsi"/>
          <w:color w:val="auto"/>
          <w:sz w:val="24"/>
          <w:szCs w:val="24"/>
          <w:shd w:val="clear" w:color="auto" w:fill="F5F5F5"/>
        </w:rPr>
        <w:fldChar w:fldCharType="end"/>
      </w:r>
      <w:r>
        <w:rPr>
          <w:rFonts w:ascii="Times New Roman" w:hAnsi="Times New Roman" w:cs="Times New Roman"/>
          <w:color w:val="auto"/>
          <w:sz w:val="24"/>
          <w:szCs w:val="24"/>
          <w:shd w:val="clear" w:color="auto" w:fill="F5F5F5"/>
        </w:rPr>
        <w:t>, de 14 de dezembro de 2006, observado o disposto no art. 4º da Lei nº </w:t>
      </w:r>
      <w:r>
        <w:fldChar w:fldCharType="begin"/>
      </w:r>
      <w:r>
        <w:instrText xml:space="preserve"> HYPERLINK "http://www.planalto.gov.br/ccivil_03/_ato2019-2022/2021/lei/L14133.htm" </w:instrText>
      </w:r>
      <w:r>
        <w:fldChar w:fldCharType="separate"/>
      </w:r>
      <w:r>
        <w:rPr>
          <w:rStyle w:val="14"/>
          <w:rFonts w:ascii="Times New Roman" w:hAnsi="Times New Roman" w:cs="Times New Roman" w:eastAsiaTheme="minorHAnsi"/>
          <w:color w:val="auto"/>
          <w:sz w:val="24"/>
          <w:szCs w:val="24"/>
          <w:shd w:val="clear" w:color="auto" w:fill="F5F5F5"/>
        </w:rPr>
        <w:t>14.133</w:t>
      </w:r>
      <w:r>
        <w:rPr>
          <w:rStyle w:val="14"/>
          <w:rFonts w:ascii="Times New Roman" w:hAnsi="Times New Roman" w:cs="Times New Roman" w:eastAsiaTheme="minorHAnsi"/>
          <w:color w:val="auto"/>
          <w:sz w:val="24"/>
          <w:szCs w:val="24"/>
          <w:shd w:val="clear" w:color="auto" w:fill="F5F5F5"/>
        </w:rPr>
        <w:fldChar w:fldCharType="end"/>
      </w:r>
      <w:r>
        <w:rPr>
          <w:rFonts w:ascii="Times New Roman" w:hAnsi="Times New Roman" w:cs="Times New Roman"/>
          <w:color w:val="auto"/>
          <w:sz w:val="24"/>
          <w:szCs w:val="24"/>
          <w:shd w:val="clear" w:color="auto" w:fill="F5F5F5"/>
        </w:rPr>
        <w:t>, de 2021;</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II - disputa final, hipótese em que os licitantes empatados poderão apresentar nova proposta em ato contínuo à classificação;</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III - avaliação do desempenho contratual prévio dos licitantes;</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IV - desenvolvimento pelo licitante de ações de equidade entre homens e mulheres no ambiente de trabalho, conforme regulamento; e</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V - desenvolvimento pelo licitante de programa de integridade, conforme orientações dos órgãos de controle.</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Parágrafo único. Os critérios de desempate previstos nos incisos II, III, IV e V deste artigo serão aplicados nas hipóteses em que não haja envio de lances após o início da fase competitiva.</w:t>
      </w:r>
    </w:p>
    <w:p w14:paraId="79AA5D8D">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6.19.1.1 contratação de microempresas e empresas de pequeno porte, nos termos dos arts. 44 e 45 da Lei Complementar nº 123/2006, observado o disposto no art. 4º da Lei nº 14.133/2021;</w:t>
      </w:r>
    </w:p>
    <w:p w14:paraId="17D3D260">
      <w:pPr>
        <w:pStyle w:val="106"/>
        <w:spacing w:before="288" w:beforeLines="120" w:after="288" w:afterLines="120" w:line="288" w:lineRule="auto"/>
        <w:ind w:left="0"/>
        <w:contextualSpacing/>
        <w:rPr>
          <w:rFonts w:ascii="Times New Roman" w:hAnsi="Times New Roman" w:cs="Times New Roman"/>
          <w:sz w:val="24"/>
          <w:szCs w:val="24"/>
        </w:rPr>
      </w:pPr>
    </w:p>
    <w:p w14:paraId="343A7E53">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6.19.1.2 disputa final, hipótese em que os licitantes empatados poderão apresentar nova proposta em ato contínuo à classificação;</w:t>
      </w:r>
    </w:p>
    <w:p w14:paraId="430CFAA3">
      <w:pPr>
        <w:pStyle w:val="106"/>
        <w:spacing w:before="288" w:beforeLines="120" w:after="288" w:afterLines="120" w:line="288" w:lineRule="auto"/>
        <w:ind w:left="0"/>
        <w:contextualSpacing/>
        <w:rPr>
          <w:rFonts w:ascii="Times New Roman" w:hAnsi="Times New Roman" w:cs="Times New Roman"/>
          <w:sz w:val="24"/>
          <w:szCs w:val="24"/>
        </w:rPr>
      </w:pPr>
    </w:p>
    <w:p w14:paraId="63F819CD">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6.19.1.3 avaliação do desempenho contratual prévio dos licitantes, para a qual deverão preferencialmente ser utilizados registros cadastrais para efeito de atesto de cumprimento de obrigações previstos na Lei;</w:t>
      </w:r>
    </w:p>
    <w:p w14:paraId="4002BE77">
      <w:pPr>
        <w:pStyle w:val="106"/>
        <w:spacing w:before="288" w:beforeLines="120" w:after="288" w:afterLines="120" w:line="288" w:lineRule="auto"/>
        <w:ind w:left="0"/>
        <w:contextualSpacing/>
        <w:rPr>
          <w:rFonts w:ascii="Times New Roman" w:hAnsi="Times New Roman" w:cs="Times New Roman"/>
          <w:sz w:val="24"/>
          <w:szCs w:val="24"/>
        </w:rPr>
      </w:pPr>
    </w:p>
    <w:p w14:paraId="4451B1C6">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6.19.1.4 desenvolvimento pelo licitante de ações de equidade entre homens e mulheres no ambiente de trabalho;</w:t>
      </w:r>
    </w:p>
    <w:p w14:paraId="0D1DCAE8">
      <w:pPr>
        <w:pStyle w:val="106"/>
        <w:spacing w:before="288" w:beforeLines="120" w:after="288" w:afterLines="120" w:line="288" w:lineRule="auto"/>
        <w:ind w:left="0"/>
        <w:contextualSpacing/>
        <w:rPr>
          <w:rFonts w:ascii="Times New Roman" w:hAnsi="Times New Roman" w:cs="Times New Roman"/>
          <w:sz w:val="24"/>
          <w:szCs w:val="24"/>
        </w:rPr>
      </w:pPr>
    </w:p>
    <w:p w14:paraId="4AFDCED1">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6.19.1.5 desenvolvimento pelo licitante de programa de integridade, conforme orientações dos órgãos de controle.</w:t>
      </w:r>
    </w:p>
    <w:p w14:paraId="05F40C09">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6.19.2 Persistindo o empate, será assegurada preferência, sucessivamente, aos bens e serviços produzidos ou prestados por:</w:t>
      </w:r>
    </w:p>
    <w:p w14:paraId="7E7E5C27">
      <w:pPr>
        <w:pStyle w:val="106"/>
        <w:spacing w:before="288" w:beforeLines="120" w:after="288" w:afterLines="120" w:line="288" w:lineRule="auto"/>
        <w:ind w:left="0"/>
        <w:contextualSpacing/>
        <w:rPr>
          <w:rFonts w:ascii="Times New Roman" w:hAnsi="Times New Roman" w:cs="Times New Roman"/>
          <w:sz w:val="24"/>
          <w:szCs w:val="24"/>
        </w:rPr>
      </w:pPr>
      <w:bookmarkStart w:id="25" w:name="art60§1i"/>
      <w:bookmarkEnd w:id="25"/>
      <w:r>
        <w:rPr>
          <w:rFonts w:ascii="Times New Roman" w:hAnsi="Times New Roman" w:cs="Times New Roman"/>
          <w:sz w:val="24"/>
          <w:szCs w:val="24"/>
        </w:rPr>
        <w:t>6.19.2.1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0A24EC9">
      <w:pPr>
        <w:pStyle w:val="106"/>
        <w:spacing w:before="288" w:beforeLines="120" w:after="288" w:afterLines="120" w:line="288" w:lineRule="auto"/>
        <w:ind w:left="0"/>
        <w:contextualSpacing/>
        <w:rPr>
          <w:rFonts w:ascii="Times New Roman" w:hAnsi="Times New Roman" w:cs="Times New Roman"/>
          <w:sz w:val="24"/>
          <w:szCs w:val="24"/>
        </w:rPr>
      </w:pPr>
      <w:bookmarkStart w:id="26" w:name="art60§1ii"/>
      <w:bookmarkEnd w:id="26"/>
    </w:p>
    <w:p w14:paraId="7DB5505B">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6.19.2.2 empresas brasileiras;</w:t>
      </w:r>
    </w:p>
    <w:p w14:paraId="2FD89D02">
      <w:pPr>
        <w:pStyle w:val="106"/>
        <w:spacing w:before="288" w:beforeLines="120" w:after="288" w:afterLines="120" w:line="288" w:lineRule="auto"/>
        <w:ind w:left="0"/>
        <w:contextualSpacing/>
        <w:rPr>
          <w:rFonts w:ascii="Times New Roman" w:hAnsi="Times New Roman" w:cs="Times New Roman"/>
          <w:sz w:val="24"/>
          <w:szCs w:val="24"/>
        </w:rPr>
      </w:pPr>
      <w:bookmarkStart w:id="27" w:name="art60§1iii"/>
      <w:bookmarkEnd w:id="27"/>
    </w:p>
    <w:p w14:paraId="240C2993">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6.19.2.3 empresas que invistam em pesquisa e no desenvolvimento de tecnologia no País;</w:t>
      </w:r>
    </w:p>
    <w:p w14:paraId="01A3A9B3">
      <w:pPr>
        <w:pStyle w:val="106"/>
        <w:spacing w:before="288" w:beforeLines="120" w:after="288" w:afterLines="120" w:line="288" w:lineRule="auto"/>
        <w:ind w:left="0"/>
        <w:contextualSpacing/>
        <w:rPr>
          <w:rFonts w:ascii="Times New Roman" w:hAnsi="Times New Roman" w:cs="Times New Roman"/>
          <w:sz w:val="24"/>
          <w:szCs w:val="24"/>
        </w:rPr>
      </w:pPr>
      <w:bookmarkStart w:id="28" w:name="art60§1iv"/>
      <w:bookmarkEnd w:id="28"/>
    </w:p>
    <w:p w14:paraId="7EB1DB77">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6.19.2.4 empresas que comprovem a prática de mitigação, nos termos da </w:t>
      </w:r>
      <w:r>
        <w:fldChar w:fldCharType="begin"/>
      </w:r>
      <w:r>
        <w:instrText xml:space="preserve"> HYPERLINK "https://www.planalto.gov.br/ccivil_03/_ato2007-2010/2009/lei/l12187.htm" \l ":~:text=LEI%20N%C2%BA%2012.187%2C%20DE%2029%20DE%20DEZEMBRO%20DE%202009.&amp;text=Institui%20a%20Pol%C3%ADtica%20Nacional%20sobre,PNMC%20e%20d%C3%A1%20outras%20provid%C3%AAncias." </w:instrText>
      </w:r>
      <w:r>
        <w:fldChar w:fldCharType="separate"/>
      </w:r>
      <w:r>
        <w:rPr>
          <w:rStyle w:val="14"/>
          <w:rFonts w:ascii="Times New Roman" w:hAnsi="Times New Roman" w:cs="Times New Roman"/>
          <w:sz w:val="24"/>
          <w:szCs w:val="24"/>
        </w:rPr>
        <w:t>Lei nº 12.187, de 29 de dezembro de 2009</w:t>
      </w:r>
      <w:r>
        <w:rPr>
          <w:rStyle w:val="14"/>
          <w:rFonts w:ascii="Times New Roman" w:hAnsi="Times New Roman" w:cs="Times New Roman"/>
          <w:sz w:val="24"/>
          <w:szCs w:val="24"/>
        </w:rPr>
        <w:fldChar w:fldCharType="end"/>
      </w:r>
      <w:r>
        <w:rPr>
          <w:rFonts w:ascii="Times New Roman" w:hAnsi="Times New Roman" w:cs="Times New Roman"/>
          <w:sz w:val="24"/>
          <w:szCs w:val="24"/>
        </w:rPr>
        <w:t>.</w:t>
      </w:r>
    </w:p>
    <w:p w14:paraId="083D6137">
      <w:pPr>
        <w:pStyle w:val="81"/>
        <w:spacing w:before="0" w:beforeAutospacing="0" w:after="0" w:afterAutospacing="0" w:line="288" w:lineRule="auto"/>
        <w:contextualSpacing/>
        <w:jc w:val="both"/>
        <w:rPr>
          <w:rFonts w:eastAsia="Calibri"/>
          <w:b/>
          <w:bCs/>
          <w:lang w:eastAsia="en-US"/>
        </w:rPr>
      </w:pPr>
      <w:r>
        <w:rPr>
          <w:rFonts w:eastAsia="Calibri"/>
          <w:b/>
          <w:bCs/>
          <w:lang w:eastAsia="en-US"/>
        </w:rPr>
        <w:t>7. DA FASE DE JULGAMENTO</w:t>
      </w:r>
    </w:p>
    <w:p w14:paraId="35C73919">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 Encerrada a etapa de envio de lances da sessão pública, na hipótese de a proposta do primeiro colocado permanecer acima do preço máximo ou inferior ao desconto definido para a contratação, o Pregoeiro negociará condições mais vantajosas, após definido o resultado do julgamento.</w:t>
      </w:r>
    </w:p>
    <w:p w14:paraId="36E63DD0">
      <w:pPr>
        <w:pStyle w:val="83"/>
        <w:spacing w:before="288" w:beforeLines="120" w:after="288" w:afterLines="120" w:line="288" w:lineRule="auto"/>
        <w:ind w:left="0" w:firstLine="0"/>
        <w:contextualSpacing/>
        <w:rPr>
          <w:rFonts w:ascii="Times New Roman" w:hAnsi="Times New Roman" w:cs="Times New Roman"/>
          <w:sz w:val="24"/>
          <w:szCs w:val="24"/>
        </w:rPr>
      </w:pPr>
    </w:p>
    <w:p w14:paraId="39DE2436">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7.1.1 A negociação ocorrerá sempre que a proposta do primeiro colocado permanecer acima do preço máximo ou do orçamento estimado para a contratação, ou inferior ao desconto definido para a contratação, e poderá ser dispensada, nos demais casos, mediante justificativa da provável inefetividade da negociação.</w:t>
      </w:r>
    </w:p>
    <w:p w14:paraId="1A2008AE">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7.1.2 A negociação será realizada por meio do sistema, podendo ser acompanhada pelos demais licitantes.</w:t>
      </w:r>
    </w:p>
    <w:p w14:paraId="59F9C59D">
      <w:pPr>
        <w:pStyle w:val="86"/>
        <w:spacing w:before="288" w:beforeLines="120" w:after="288" w:afterLines="120" w:line="288" w:lineRule="auto"/>
        <w:ind w:left="0" w:firstLine="0"/>
        <w:contextualSpacing/>
        <w:rPr>
          <w:rFonts w:ascii="Times New Roman" w:hAnsi="Times New Roman" w:cs="Times New Roman"/>
          <w:sz w:val="24"/>
          <w:szCs w:val="24"/>
        </w:rPr>
      </w:pPr>
    </w:p>
    <w:p w14:paraId="5E1F0009">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7.1.3 O resultado da negociação será divulgado a todos os licitantes e anexado aos autos do processo licitatório.</w:t>
      </w:r>
    </w:p>
    <w:p w14:paraId="6651379A">
      <w:pPr>
        <w:pStyle w:val="86"/>
        <w:spacing w:before="288" w:beforeLines="120" w:after="288" w:afterLines="120" w:line="288" w:lineRule="auto"/>
        <w:ind w:left="0" w:firstLine="0"/>
        <w:contextualSpacing/>
        <w:rPr>
          <w:rFonts w:ascii="Times New Roman" w:hAnsi="Times New Roman" w:cs="Times New Roman"/>
          <w:sz w:val="24"/>
          <w:szCs w:val="24"/>
        </w:rPr>
      </w:pPr>
    </w:p>
    <w:p w14:paraId="54CF0315">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7.1.4 O Pregoeiro solicitará ao licitante mais bem classificado que, no </w:t>
      </w:r>
      <w:bookmarkStart w:id="29" w:name="_Hlk178773510"/>
      <w:r>
        <w:rPr>
          <w:rFonts w:ascii="Times New Roman" w:hAnsi="Times New Roman" w:cs="Times New Roman"/>
          <w:color w:val="auto"/>
          <w:sz w:val="24"/>
          <w:szCs w:val="24"/>
        </w:rPr>
        <w:t xml:space="preserve">prazo mínimo </w:t>
      </w:r>
      <w:r>
        <w:rPr>
          <w:rFonts w:ascii="Times New Roman" w:hAnsi="Times New Roman" w:cs="Times New Roman"/>
          <w:color w:val="000000" w:themeColor="text1"/>
          <w:sz w:val="24"/>
          <w:szCs w:val="24"/>
          <w14:textFill>
            <w14:solidFill>
              <w14:schemeClr w14:val="tx1"/>
            </w14:solidFill>
          </w14:textFill>
        </w:rPr>
        <w:t>de 2 (duas) horas</w:t>
      </w:r>
      <w:bookmarkEnd w:id="29"/>
      <w:r>
        <w:rPr>
          <w:rFonts w:ascii="Times New Roman" w:hAnsi="Times New Roman" w:cs="Times New Roman"/>
          <w:color w:val="000000" w:themeColor="text1"/>
          <w:sz w:val="24"/>
          <w:szCs w:val="24"/>
          <w14:textFill>
            <w14:solidFill>
              <w14:schemeClr w14:val="tx1"/>
            </w14:solidFill>
          </w14:textFill>
        </w:rPr>
        <w:t xml:space="preserve">, envie </w:t>
      </w:r>
      <w:r>
        <w:rPr>
          <w:rFonts w:ascii="Times New Roman" w:hAnsi="Times New Roman" w:cs="Times New Roman"/>
          <w:sz w:val="24"/>
          <w:szCs w:val="24"/>
        </w:rPr>
        <w:t>a proposta adequada ao último lance ofertado após a negociação realizada, acompanhada, se for o caso, dos documentos complementares, quando necessários à confirmação daqueles exigidos neste Edital e já apresentados.</w:t>
      </w:r>
    </w:p>
    <w:p w14:paraId="14037819">
      <w:pPr>
        <w:pStyle w:val="86"/>
        <w:spacing w:before="288" w:beforeLines="120" w:after="288" w:afterLines="120" w:line="288" w:lineRule="auto"/>
        <w:ind w:left="0" w:firstLine="0"/>
        <w:contextualSpacing/>
        <w:rPr>
          <w:rFonts w:ascii="Times New Roman" w:hAnsi="Times New Roman" w:cs="Times New Roman"/>
          <w:sz w:val="24"/>
          <w:szCs w:val="24"/>
        </w:rPr>
      </w:pPr>
    </w:p>
    <w:p w14:paraId="7361C6B2">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7.1.5 É facultado ao Pregoeiro prorrogar o prazo estabelecido, por igual período, de ofício ou a partir de solicitação fundamentada feita no chat pelo licitante, antes de findo o prazo.</w:t>
      </w:r>
    </w:p>
    <w:p w14:paraId="09108464">
      <w:pPr>
        <w:pStyle w:val="8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7.2 Encerrada a negociação, o Pregoeiro examinará a proposta classificada em primeiro lugar quanto à adequação ao objeto e à compatibilidade do preço em relação ao máximo estipulado para contratação neste Edital e em seus anexos.</w:t>
      </w:r>
    </w:p>
    <w:p w14:paraId="59B3AF31">
      <w:pPr>
        <w:pStyle w:val="83"/>
        <w:spacing w:before="288" w:beforeLines="120" w:after="288" w:afterLines="120" w:line="288" w:lineRule="auto"/>
        <w:ind w:left="0" w:firstLine="0"/>
        <w:contextualSpacing/>
        <w:rPr>
          <w:rFonts w:ascii="Times New Roman" w:hAnsi="Times New Roman" w:cs="Times New Roman"/>
          <w:sz w:val="24"/>
          <w:szCs w:val="24"/>
        </w:rPr>
      </w:pPr>
    </w:p>
    <w:p w14:paraId="5D54D3D9">
      <w:pPr>
        <w:pStyle w:val="8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 xml:space="preserve">7.3 Será desclassificada a proposta vencedora que: </w:t>
      </w:r>
    </w:p>
    <w:p w14:paraId="1A501F00">
      <w:pPr>
        <w:pStyle w:val="86"/>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7.3.1 contiver vícios insanáveis;</w:t>
      </w:r>
    </w:p>
    <w:p w14:paraId="0EC1FD73">
      <w:pPr>
        <w:pStyle w:val="86"/>
        <w:spacing w:before="288" w:beforeLines="120" w:after="288" w:afterLines="120" w:line="288" w:lineRule="auto"/>
        <w:ind w:left="0" w:firstLine="0"/>
        <w:contextualSpacing/>
        <w:rPr>
          <w:rFonts w:ascii="Times New Roman" w:hAnsi="Times New Roman" w:cs="Times New Roman"/>
          <w:sz w:val="24"/>
          <w:szCs w:val="24"/>
        </w:rPr>
      </w:pPr>
    </w:p>
    <w:p w14:paraId="4324CBF7">
      <w:pPr>
        <w:pStyle w:val="86"/>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7.3.2 não obedecer às especificações técnicas contidas no Termo de Referência;</w:t>
      </w:r>
    </w:p>
    <w:p w14:paraId="75B19C7E">
      <w:pPr>
        <w:pStyle w:val="86"/>
        <w:spacing w:before="288" w:beforeLines="120" w:after="288" w:afterLines="120" w:line="288" w:lineRule="auto"/>
        <w:ind w:left="0" w:firstLine="0"/>
        <w:contextualSpacing/>
        <w:rPr>
          <w:rFonts w:ascii="Times New Roman" w:hAnsi="Times New Roman" w:cs="Times New Roman"/>
          <w:sz w:val="24"/>
          <w:szCs w:val="24"/>
        </w:rPr>
      </w:pPr>
    </w:p>
    <w:p w14:paraId="39CD7ED7">
      <w:pPr>
        <w:pStyle w:val="86"/>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7.3.3 apresentar preços inexequíveis ou permanecerem acima do preço máximo definido para a contratação;</w:t>
      </w:r>
    </w:p>
    <w:p w14:paraId="1B87DBB2">
      <w:pPr>
        <w:pStyle w:val="86"/>
        <w:spacing w:before="288" w:beforeLines="120" w:after="288" w:afterLines="120" w:line="288" w:lineRule="auto"/>
        <w:ind w:left="0" w:firstLine="0"/>
        <w:contextualSpacing/>
        <w:rPr>
          <w:rFonts w:ascii="Times New Roman" w:hAnsi="Times New Roman" w:cs="Times New Roman"/>
          <w:sz w:val="24"/>
          <w:szCs w:val="24"/>
        </w:rPr>
      </w:pPr>
    </w:p>
    <w:p w14:paraId="4603EA1F">
      <w:pPr>
        <w:pStyle w:val="86"/>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7.3.4 não tiverem sua exequibilidade demonstrada, quando exigido pela Administração;</w:t>
      </w:r>
    </w:p>
    <w:p w14:paraId="1F39726B">
      <w:pPr>
        <w:pStyle w:val="86"/>
        <w:spacing w:before="288" w:beforeLines="120" w:after="288" w:afterLines="120" w:line="288" w:lineRule="auto"/>
        <w:ind w:left="0" w:firstLine="0"/>
        <w:contextualSpacing/>
        <w:rPr>
          <w:rFonts w:ascii="Times New Roman" w:hAnsi="Times New Roman" w:cs="Times New Roman"/>
          <w:sz w:val="24"/>
          <w:szCs w:val="24"/>
        </w:rPr>
      </w:pPr>
    </w:p>
    <w:p w14:paraId="79E72D76">
      <w:pPr>
        <w:pStyle w:val="86"/>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7.3.5 apresentar desconformidade com quaisquer outras exigências deste Edital ou seus anexos, desde que insanável.</w:t>
      </w:r>
    </w:p>
    <w:p w14:paraId="34C809B8">
      <w:pPr>
        <w:pStyle w:val="83"/>
        <w:spacing w:before="288" w:beforeLines="120" w:after="288" w:afterLines="120" w:line="288" w:lineRule="auto"/>
        <w:ind w:left="0" w:firstLine="0"/>
        <w:contextualSpacing/>
        <w:rPr>
          <w:rFonts w:ascii="Times New Roman" w:hAnsi="Times New Roman" w:cs="Times New Roman"/>
          <w:b/>
          <w:bCs/>
          <w:sz w:val="24"/>
          <w:szCs w:val="24"/>
        </w:rPr>
      </w:pPr>
      <w:r>
        <w:rPr>
          <w:rFonts w:ascii="Times New Roman" w:hAnsi="Times New Roman" w:cs="Times New Roman"/>
          <w:sz w:val="24"/>
          <w:szCs w:val="24"/>
        </w:rPr>
        <w:t>7.4 A desclassificação será sempre fundamentada e registrada no sistema, com acompanhamento por todos os participantes.</w:t>
      </w:r>
    </w:p>
    <w:p w14:paraId="7929A970">
      <w:pPr>
        <w:pStyle w:val="83"/>
        <w:spacing w:before="288" w:beforeLines="120" w:after="288" w:afterLines="120" w:line="288" w:lineRule="auto"/>
        <w:ind w:left="0" w:firstLine="0"/>
        <w:contextualSpacing/>
        <w:rPr>
          <w:rFonts w:ascii="Times New Roman" w:hAnsi="Times New Roman" w:cs="Times New Roman"/>
          <w:sz w:val="24"/>
          <w:szCs w:val="24"/>
        </w:rPr>
      </w:pPr>
    </w:p>
    <w:p w14:paraId="4E562679">
      <w:pPr>
        <w:pStyle w:val="83"/>
        <w:spacing w:before="288" w:beforeLines="120" w:after="288" w:afterLines="120" w:line="288" w:lineRule="auto"/>
        <w:ind w:left="0" w:firstLine="0"/>
        <w:contextualSpacing/>
        <w:rPr>
          <w:rFonts w:ascii="Times New Roman" w:hAnsi="Times New Roman" w:cs="Times New Roman"/>
          <w:b/>
          <w:bCs/>
          <w:sz w:val="24"/>
          <w:szCs w:val="24"/>
        </w:rPr>
      </w:pPr>
      <w:r>
        <w:rPr>
          <w:rFonts w:ascii="Times New Roman" w:hAnsi="Times New Roman" w:cs="Times New Roman"/>
          <w:sz w:val="24"/>
          <w:szCs w:val="24"/>
        </w:rPr>
        <w:t xml:space="preserve">7.5 É indício de inexequibilidade das propostas valores inferiores a 50% (cinquenta por cento) do valor orçado pela Administração, conforme art. 59 da Lei 14.133/2021 e Instrução Normativa/ME 73/2022. </w:t>
      </w:r>
    </w:p>
    <w:p w14:paraId="5A0EC24D">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7.5.1 A inexequibilidade, na hipótese de que trata o </w:t>
      </w:r>
      <w:r>
        <w:rPr>
          <w:rFonts w:ascii="Times New Roman" w:hAnsi="Times New Roman" w:cs="Times New Roman"/>
          <w:i/>
          <w:iCs/>
          <w:sz w:val="24"/>
          <w:szCs w:val="24"/>
        </w:rPr>
        <w:t>caput</w:t>
      </w:r>
      <w:r>
        <w:rPr>
          <w:rFonts w:ascii="Times New Roman" w:hAnsi="Times New Roman" w:cs="Times New Roman"/>
          <w:sz w:val="24"/>
          <w:szCs w:val="24"/>
        </w:rPr>
        <w:t>, só será considerada após diligência do Pregoeiro, que comprove:</w:t>
      </w:r>
    </w:p>
    <w:p w14:paraId="0340F5B8">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7.5.1.1 que o custo do licitante ultrapassa o valor da proposta; e</w:t>
      </w:r>
    </w:p>
    <w:p w14:paraId="6E1F3CFA">
      <w:pPr>
        <w:pStyle w:val="106"/>
        <w:spacing w:before="288" w:beforeLines="120" w:after="288" w:afterLines="120" w:line="288" w:lineRule="auto"/>
        <w:ind w:left="0"/>
        <w:contextualSpacing/>
        <w:rPr>
          <w:rFonts w:ascii="Times New Roman" w:hAnsi="Times New Roman" w:cs="Times New Roman"/>
          <w:sz w:val="24"/>
          <w:szCs w:val="24"/>
        </w:rPr>
      </w:pPr>
    </w:p>
    <w:p w14:paraId="3F733850">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7.5.1.2 inexistirem custos de oportunidade capazes de justificar o vulto da oferta.</w:t>
      </w:r>
    </w:p>
    <w:p w14:paraId="4244186C">
      <w:pPr>
        <w:pStyle w:val="8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7.6 Se houver indícios de inexequibilidade da proposta de preço, ou em caso da necessidade de esclarecimentos complementares, poderão ser efetuadas diligências, para que a empresa comprove a exequibilidade da proposta.</w:t>
      </w:r>
    </w:p>
    <w:p w14:paraId="4969CC63">
      <w:pPr>
        <w:pStyle w:val="83"/>
        <w:spacing w:before="288" w:beforeLines="120" w:after="288" w:afterLines="120" w:line="288" w:lineRule="auto"/>
        <w:ind w:left="0" w:firstLine="0"/>
        <w:contextualSpacing/>
        <w:rPr>
          <w:rFonts w:ascii="Times New Roman" w:hAnsi="Times New Roman" w:cs="Times New Roman"/>
          <w:sz w:val="24"/>
          <w:szCs w:val="24"/>
        </w:rPr>
      </w:pPr>
    </w:p>
    <w:p w14:paraId="7AD2D40B">
      <w:pPr>
        <w:pStyle w:val="8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7.7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051DA149">
      <w:pPr>
        <w:pStyle w:val="83"/>
        <w:spacing w:before="288" w:beforeLines="120" w:after="288" w:afterLines="120" w:line="288" w:lineRule="auto"/>
        <w:ind w:left="0" w:firstLine="0"/>
        <w:contextualSpacing/>
        <w:rPr>
          <w:rFonts w:ascii="Times New Roman" w:hAnsi="Times New Roman" w:cs="Times New Roman"/>
          <w:sz w:val="24"/>
          <w:szCs w:val="24"/>
        </w:rPr>
      </w:pPr>
    </w:p>
    <w:p w14:paraId="5CC12796">
      <w:pPr>
        <w:pStyle w:val="8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7.8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79189CED">
      <w:pPr>
        <w:pStyle w:val="86"/>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7.8.1 O ajuste de que trata este dispositivo se limita a sanar erros ou falhas que não alterem a substância das propostas.</w:t>
      </w:r>
    </w:p>
    <w:p w14:paraId="40491E78">
      <w:pPr>
        <w:pStyle w:val="86"/>
        <w:spacing w:before="288" w:beforeLines="120" w:after="288" w:afterLines="120" w:line="288" w:lineRule="auto"/>
        <w:ind w:left="0" w:firstLine="0"/>
        <w:contextualSpacing/>
        <w:rPr>
          <w:rFonts w:ascii="Times New Roman" w:hAnsi="Times New Roman" w:cs="Times New Roman"/>
          <w:sz w:val="24"/>
          <w:szCs w:val="24"/>
        </w:rPr>
      </w:pPr>
    </w:p>
    <w:p w14:paraId="5022AA80">
      <w:pPr>
        <w:pStyle w:val="86"/>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7.8.2 Considera-se erro no preenchimento da planilha passível de correção a indicação de recolhimento de impostos e contribuições na forma do Simples Nacional, quando não cabível esse regime.</w:t>
      </w:r>
    </w:p>
    <w:p w14:paraId="5CF3C039">
      <w:pPr>
        <w:pStyle w:val="83"/>
        <w:spacing w:before="288" w:beforeLines="120" w:after="288" w:afterLines="120" w:line="288" w:lineRule="auto"/>
        <w:ind w:left="0" w:firstLine="0"/>
        <w:contextualSpacing/>
        <w:rPr>
          <w:rFonts w:ascii="Times New Roman" w:hAnsi="Times New Roman" w:cs="Times New Roman"/>
          <w:sz w:val="24"/>
          <w:szCs w:val="24"/>
          <w:lang w:eastAsia="en-US"/>
        </w:rPr>
      </w:pPr>
      <w:r>
        <w:rPr>
          <w:rFonts w:ascii="Times New Roman" w:hAnsi="Times New Roman" w:cs="Times New Roman"/>
          <w:sz w:val="24"/>
          <w:szCs w:val="24"/>
          <w:lang w:eastAsia="en-US"/>
        </w:rPr>
        <w:t xml:space="preserve">7.9 Para fins de análise da proposta quanto ao cumprimento </w:t>
      </w:r>
      <w:r>
        <w:rPr>
          <w:rFonts w:ascii="Times New Roman" w:hAnsi="Times New Roman" w:cs="Times New Roman"/>
          <w:sz w:val="24"/>
          <w:szCs w:val="24"/>
        </w:rPr>
        <w:t>das</w:t>
      </w:r>
      <w:r>
        <w:rPr>
          <w:rFonts w:ascii="Times New Roman" w:hAnsi="Times New Roman" w:cs="Times New Roman"/>
          <w:sz w:val="24"/>
          <w:szCs w:val="24"/>
          <w:lang w:eastAsia="en-US"/>
        </w:rPr>
        <w:t xml:space="preserve"> especificações do objeto, poderá ser colhida a </w:t>
      </w:r>
      <w:r>
        <w:rPr>
          <w:rFonts w:ascii="Times New Roman" w:hAnsi="Times New Roman" w:cs="Times New Roman"/>
          <w:sz w:val="24"/>
          <w:szCs w:val="24"/>
        </w:rPr>
        <w:t>manifestação</w:t>
      </w:r>
      <w:r>
        <w:rPr>
          <w:rFonts w:ascii="Times New Roman" w:hAnsi="Times New Roman" w:cs="Times New Roman"/>
          <w:sz w:val="24"/>
          <w:szCs w:val="24"/>
          <w:lang w:eastAsia="en-US"/>
        </w:rPr>
        <w:t xml:space="preserve"> escrita do setor requisitante da área especializada no objeto.</w:t>
      </w:r>
    </w:p>
    <w:p w14:paraId="2DCA427F">
      <w:pPr>
        <w:pStyle w:val="83"/>
        <w:spacing w:before="288" w:beforeLines="120" w:after="288" w:afterLines="120" w:line="288" w:lineRule="auto"/>
        <w:ind w:left="0" w:firstLine="0"/>
        <w:contextualSpacing/>
        <w:rPr>
          <w:rFonts w:ascii="Times New Roman" w:hAnsi="Times New Roman" w:cs="Times New Roman"/>
          <w:sz w:val="24"/>
          <w:szCs w:val="24"/>
        </w:rPr>
      </w:pPr>
    </w:p>
    <w:p w14:paraId="68F5AD33">
      <w:pPr>
        <w:pStyle w:val="83"/>
        <w:spacing w:before="288" w:beforeLines="120" w:after="288" w:afterLines="120" w:line="288" w:lineRule="auto"/>
        <w:ind w:left="0" w:firstLine="0"/>
        <w:contextualSpacing/>
        <w:rPr>
          <w:rFonts w:ascii="Times New Roman" w:hAnsi="Times New Roman" w:cs="Times New Roman"/>
          <w:b/>
          <w:bCs/>
          <w:sz w:val="24"/>
          <w:szCs w:val="24"/>
          <w:lang w:eastAsia="ar-SA"/>
        </w:rPr>
      </w:pPr>
      <w:r>
        <w:rPr>
          <w:rFonts w:ascii="Times New Roman" w:hAnsi="Times New Roman" w:cs="Times New Roman"/>
          <w:sz w:val="24"/>
          <w:szCs w:val="24"/>
        </w:rPr>
        <w:t xml:space="preserve">7.10 O Pregoeiro verificará se o licitante provisoriamente classificado em primeiro lugar atende às condições de participação no certame, conforme previsto no </w:t>
      </w:r>
      <w:r>
        <w:fldChar w:fldCharType="begin"/>
      </w:r>
      <w:r>
        <w:instrText xml:space="preserve"> HYPERLINK "http://www.planalto.gov.br/ccivil_03/_ato2019-2022/2021/lei/L14133.htm" \l "art14" </w:instrText>
      </w:r>
      <w:r>
        <w:fldChar w:fldCharType="separate"/>
      </w:r>
      <w:r>
        <w:rPr>
          <w:rStyle w:val="14"/>
          <w:rFonts w:ascii="Times New Roman" w:hAnsi="Times New Roman" w:cs="Times New Roman" w:eastAsiaTheme="minorHAnsi"/>
          <w:color w:val="auto"/>
          <w:sz w:val="24"/>
          <w:szCs w:val="24"/>
        </w:rPr>
        <w:t>art. 14 da Lei nº 14.133/2021</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r>
        <w:rPr>
          <w:rFonts w:ascii="Times New Roman" w:hAnsi="Times New Roman" w:cs="Times New Roman"/>
          <w:sz w:val="24"/>
          <w:szCs w:val="24"/>
        </w:rPr>
        <w:t xml:space="preserve"> legislação correlata e no item 3.9 do Edital, </w:t>
      </w:r>
      <w:r>
        <w:rPr>
          <w:rFonts w:ascii="Times New Roman" w:hAnsi="Times New Roman" w:cs="Times New Roman"/>
          <w:color w:val="auto"/>
          <w:sz w:val="24"/>
          <w:szCs w:val="24"/>
          <w:lang w:eastAsia="ar-SA"/>
        </w:rPr>
        <w:t>especialmente quanto à existência de sanção que impeça a participação no certame ou a futura contratação,</w:t>
      </w:r>
      <w:r>
        <w:rPr>
          <w:rFonts w:ascii="Times New Roman" w:hAnsi="Times New Roman" w:cs="Times New Roman"/>
          <w:sz w:val="24"/>
          <w:szCs w:val="24"/>
          <w:lang w:eastAsia="ar-SA"/>
        </w:rPr>
        <w:t xml:space="preserve"> mediante a consulta aos seguintes cadastros:</w:t>
      </w:r>
    </w:p>
    <w:p w14:paraId="34026E4C">
      <w:pPr>
        <w:pStyle w:val="34"/>
        <w:spacing w:before="288" w:beforeLines="120" w:after="288" w:afterLines="120" w:line="288" w:lineRule="auto"/>
        <w:ind w:left="0"/>
        <w:jc w:val="both"/>
        <w:rPr>
          <w:sz w:val="24"/>
          <w:szCs w:val="24"/>
          <w:lang w:eastAsia="ar-SA"/>
        </w:rPr>
      </w:pPr>
      <w:r>
        <w:rPr>
          <w:sz w:val="24"/>
          <w:szCs w:val="24"/>
          <w:lang w:eastAsia="ar-SA"/>
        </w:rPr>
        <w:t xml:space="preserve">a) SICAF;  </w:t>
      </w:r>
    </w:p>
    <w:p w14:paraId="5C4E1B3F">
      <w:pPr>
        <w:pStyle w:val="34"/>
        <w:spacing w:before="288" w:beforeLines="120" w:after="288" w:afterLines="120" w:line="288" w:lineRule="auto"/>
        <w:ind w:left="0"/>
        <w:jc w:val="both"/>
        <w:rPr>
          <w:sz w:val="24"/>
          <w:szCs w:val="24"/>
          <w:lang w:eastAsia="ar-SA"/>
        </w:rPr>
      </w:pPr>
    </w:p>
    <w:p w14:paraId="3B781E39">
      <w:pPr>
        <w:pStyle w:val="34"/>
        <w:spacing w:before="288" w:beforeLines="120" w:after="288" w:afterLines="120" w:line="288" w:lineRule="auto"/>
        <w:ind w:left="0"/>
        <w:jc w:val="both"/>
        <w:rPr>
          <w:sz w:val="24"/>
          <w:szCs w:val="24"/>
          <w:lang w:eastAsia="ar-SA"/>
        </w:rPr>
      </w:pPr>
      <w:r>
        <w:rPr>
          <w:sz w:val="24"/>
          <w:szCs w:val="24"/>
          <w:lang w:eastAsia="ar-SA"/>
        </w:rPr>
        <w:t>b) Cadastro Nacional de Empresas Inidôneas e Suspensas - CEIS, mantido pela Controladoria-Geral da União (</w:t>
      </w:r>
      <w:r>
        <w:fldChar w:fldCharType="begin"/>
      </w:r>
      <w:r>
        <w:instrText xml:space="preserve"> HYPERLINK "https://www.portaltransparencia.gov.br/sancoes/ceis" </w:instrText>
      </w:r>
      <w:r>
        <w:fldChar w:fldCharType="separate"/>
      </w:r>
      <w:r>
        <w:rPr>
          <w:rStyle w:val="14"/>
          <w:rFonts w:eastAsiaTheme="minorHAnsi"/>
          <w:sz w:val="24"/>
          <w:szCs w:val="24"/>
          <w:lang w:eastAsia="ar-SA"/>
        </w:rPr>
        <w:t>https://www.portaltransparencia.gov.br/sancoes/ceis</w:t>
      </w:r>
      <w:r>
        <w:rPr>
          <w:rStyle w:val="14"/>
          <w:rFonts w:eastAsiaTheme="minorHAnsi"/>
          <w:sz w:val="24"/>
          <w:szCs w:val="24"/>
          <w:lang w:eastAsia="ar-SA"/>
        </w:rPr>
        <w:fldChar w:fldCharType="end"/>
      </w:r>
      <w:r>
        <w:rPr>
          <w:sz w:val="24"/>
          <w:szCs w:val="24"/>
          <w:lang w:eastAsia="ar-SA"/>
        </w:rPr>
        <w:t xml:space="preserve">); </w:t>
      </w:r>
    </w:p>
    <w:p w14:paraId="0A2C3E7C">
      <w:pPr>
        <w:pStyle w:val="34"/>
        <w:spacing w:before="288" w:beforeLines="120" w:after="288" w:afterLines="120" w:line="288" w:lineRule="auto"/>
        <w:ind w:left="0"/>
        <w:jc w:val="both"/>
        <w:rPr>
          <w:sz w:val="24"/>
          <w:szCs w:val="24"/>
          <w:lang w:eastAsia="ar-SA"/>
        </w:rPr>
      </w:pPr>
    </w:p>
    <w:p w14:paraId="5E65E35A">
      <w:pPr>
        <w:pStyle w:val="34"/>
        <w:spacing w:before="288" w:beforeLines="120" w:after="288" w:afterLines="120" w:line="288" w:lineRule="auto"/>
        <w:ind w:left="0"/>
        <w:jc w:val="both"/>
        <w:rPr>
          <w:sz w:val="24"/>
          <w:szCs w:val="24"/>
          <w:lang w:eastAsia="ar-SA"/>
        </w:rPr>
      </w:pPr>
      <w:r>
        <w:rPr>
          <w:sz w:val="24"/>
          <w:szCs w:val="24"/>
          <w:lang w:eastAsia="ar-SA"/>
        </w:rPr>
        <w:t>c) Cadastro Nacional de Condenações Cíveis por Atos de Improbidade Administrativa, mantido pelo Conselho Nacional de Justiça (www.cnj.jus.br/improbidade_adm/consultar_requerido.php);</w:t>
      </w:r>
    </w:p>
    <w:p w14:paraId="05CFD867">
      <w:pPr>
        <w:pStyle w:val="34"/>
        <w:spacing w:before="288" w:beforeLines="120" w:after="288" w:afterLines="120" w:line="288" w:lineRule="auto"/>
        <w:ind w:left="0"/>
        <w:jc w:val="both"/>
        <w:rPr>
          <w:sz w:val="24"/>
          <w:szCs w:val="24"/>
          <w:lang w:eastAsia="ar-SA"/>
        </w:rPr>
      </w:pPr>
    </w:p>
    <w:p w14:paraId="11AD9FB1">
      <w:pPr>
        <w:pStyle w:val="34"/>
        <w:spacing w:before="288" w:beforeLines="120" w:after="288" w:afterLines="120" w:line="288" w:lineRule="auto"/>
        <w:ind w:left="0"/>
        <w:jc w:val="both"/>
        <w:rPr>
          <w:sz w:val="24"/>
          <w:szCs w:val="24"/>
          <w:lang w:eastAsia="ar-SA"/>
        </w:rPr>
      </w:pPr>
      <w:r>
        <w:rPr>
          <w:sz w:val="24"/>
          <w:szCs w:val="24"/>
          <w:lang w:eastAsia="ar-SA"/>
        </w:rPr>
        <w:t>d) Cadastro Nacional de Empresas Punidas – CNEP, mantido pela Controladoria-Geral da União (</w:t>
      </w:r>
      <w:r>
        <w:fldChar w:fldCharType="begin"/>
      </w:r>
      <w:r>
        <w:instrText xml:space="preserve"> HYPERLINK "https://www.portaltransparencia.gov.br/sancoes/cnep" </w:instrText>
      </w:r>
      <w:r>
        <w:fldChar w:fldCharType="separate"/>
      </w:r>
      <w:r>
        <w:rPr>
          <w:rStyle w:val="14"/>
          <w:rFonts w:eastAsiaTheme="minorHAnsi"/>
          <w:sz w:val="24"/>
          <w:szCs w:val="24"/>
          <w:lang w:eastAsia="ar-SA"/>
        </w:rPr>
        <w:t>https://www.portaltransparencia.gov.br/sancoes/cnep</w:t>
      </w:r>
      <w:r>
        <w:rPr>
          <w:rStyle w:val="14"/>
          <w:rFonts w:eastAsiaTheme="minorHAnsi"/>
          <w:sz w:val="24"/>
          <w:szCs w:val="24"/>
          <w:lang w:eastAsia="ar-SA"/>
        </w:rPr>
        <w:fldChar w:fldCharType="end"/>
      </w:r>
      <w:r>
        <w:rPr>
          <w:sz w:val="24"/>
          <w:szCs w:val="24"/>
          <w:lang w:eastAsia="ar-SA"/>
        </w:rPr>
        <w:t>);</w:t>
      </w:r>
    </w:p>
    <w:p w14:paraId="4CD40C96">
      <w:pPr>
        <w:pStyle w:val="34"/>
        <w:spacing w:before="288" w:beforeLines="120" w:after="288" w:afterLines="120" w:line="288" w:lineRule="auto"/>
        <w:ind w:left="0"/>
        <w:jc w:val="both"/>
        <w:rPr>
          <w:sz w:val="24"/>
          <w:szCs w:val="24"/>
          <w:lang w:eastAsia="ar-SA"/>
        </w:rPr>
      </w:pPr>
    </w:p>
    <w:p w14:paraId="7DF3B4AC">
      <w:pPr>
        <w:pStyle w:val="34"/>
        <w:spacing w:before="288" w:beforeLines="120" w:after="288" w:afterLines="120" w:line="288" w:lineRule="auto"/>
        <w:ind w:left="0"/>
        <w:jc w:val="both"/>
        <w:rPr>
          <w:sz w:val="24"/>
          <w:szCs w:val="24"/>
          <w:lang w:eastAsia="ar-SA"/>
        </w:rPr>
      </w:pPr>
      <w:r>
        <w:rPr>
          <w:sz w:val="24"/>
          <w:szCs w:val="24"/>
          <w:lang w:eastAsia="ar-SA"/>
        </w:rPr>
        <w:t>e) Lista de inidôneos mantida pelo Tribunal de Contas da União; e</w:t>
      </w:r>
    </w:p>
    <w:p w14:paraId="0967370E">
      <w:pPr>
        <w:pStyle w:val="34"/>
        <w:spacing w:before="288" w:beforeLines="120" w:after="288" w:afterLines="120" w:line="288" w:lineRule="auto"/>
        <w:ind w:left="0"/>
        <w:jc w:val="both"/>
        <w:rPr>
          <w:sz w:val="24"/>
          <w:szCs w:val="24"/>
          <w:lang w:eastAsia="ar-SA"/>
        </w:rPr>
      </w:pPr>
    </w:p>
    <w:p w14:paraId="57B7BE45">
      <w:pPr>
        <w:pStyle w:val="34"/>
        <w:spacing w:before="288" w:beforeLines="120" w:after="288" w:afterLines="120" w:line="288" w:lineRule="auto"/>
        <w:ind w:left="0"/>
        <w:jc w:val="both"/>
        <w:rPr>
          <w:sz w:val="24"/>
          <w:szCs w:val="24"/>
          <w:lang w:eastAsia="ar-SA"/>
        </w:rPr>
      </w:pPr>
      <w:r>
        <w:rPr>
          <w:sz w:val="24"/>
          <w:szCs w:val="24"/>
          <w:lang w:eastAsia="ar-SA"/>
        </w:rPr>
        <w:t>f) módulo Registro de Ocorrências do Comprasnet.</w:t>
      </w:r>
    </w:p>
    <w:p w14:paraId="5EAD7227">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7.11 Caso o licitante provisoriamente classificado em primeiro lugar tenha se utilizado de algum tratamento favorecido às ME/EPPs, o Pregoeiro verificará se faz jus ao benefício, em conformidade com os itens 3.8 e 4.5 deste Edital.</w:t>
      </w:r>
    </w:p>
    <w:p w14:paraId="2BBC7518">
      <w:pPr>
        <w:pStyle w:val="81"/>
        <w:spacing w:before="0" w:beforeAutospacing="0" w:after="0" w:afterAutospacing="0" w:line="288" w:lineRule="auto"/>
        <w:contextualSpacing/>
        <w:jc w:val="both"/>
        <w:rPr>
          <w:rFonts w:eastAsia="Calibri"/>
          <w:b/>
          <w:bCs/>
          <w:lang w:eastAsia="en-US"/>
        </w:rPr>
      </w:pPr>
      <w:r>
        <w:rPr>
          <w:rFonts w:eastAsia="Calibri"/>
          <w:b/>
          <w:bCs/>
          <w:lang w:eastAsia="en-US"/>
        </w:rPr>
        <w:t>8. DA FASE DE HABILITAÇÃO</w:t>
      </w:r>
    </w:p>
    <w:p w14:paraId="08BDFC27">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 A consulta aos cadastros será realizada em nome da empresa licitante e também de seu sócio majoritário, por força da vedação de que trata o </w:t>
      </w:r>
      <w:r>
        <w:fldChar w:fldCharType="begin"/>
      </w:r>
      <w:r>
        <w:instrText xml:space="preserve"> HYPERLINK "https://www.planalto.gov.br/ccivil_03/leis/l8429.htm" \l ":~:text=%C3%A0s%20seguintes%20comina%C3%A7%C3%B5es%3A-,Art.,n%C2%BA%2012.120%2C%20de%202009)." </w:instrText>
      </w:r>
      <w:r>
        <w:fldChar w:fldCharType="separate"/>
      </w:r>
      <w:r>
        <w:rPr>
          <w:rStyle w:val="14"/>
          <w:rFonts w:ascii="Times New Roman" w:hAnsi="Times New Roman" w:cs="Times New Roman" w:eastAsiaTheme="minorHAnsi"/>
          <w:color w:val="auto"/>
          <w:sz w:val="24"/>
          <w:szCs w:val="24"/>
        </w:rPr>
        <w:t>art. 12 da Lei nº 8.429/1992</w:t>
      </w:r>
      <w:r>
        <w:rPr>
          <w:rStyle w:val="14"/>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w:t>
      </w:r>
    </w:p>
    <w:p w14:paraId="7B7F2B46">
      <w:pPr>
        <w:pStyle w:val="83"/>
        <w:spacing w:before="288" w:beforeLines="120" w:after="288" w:afterLines="120" w:line="288" w:lineRule="auto"/>
        <w:ind w:left="0" w:firstLine="0"/>
        <w:contextualSpacing/>
        <w:rPr>
          <w:rFonts w:ascii="Times New Roman" w:hAnsi="Times New Roman" w:cs="Times New Roman"/>
          <w:sz w:val="24"/>
          <w:szCs w:val="24"/>
        </w:rPr>
      </w:pPr>
    </w:p>
    <w:p w14:paraId="58AC04BB">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8.2 Caso conste na Consulta de Situação do l</w:t>
      </w:r>
      <w:r>
        <w:rPr>
          <w:rFonts w:ascii="Times New Roman" w:hAnsi="Times New Roman" w:cs="Times New Roman"/>
          <w:color w:val="auto"/>
          <w:sz w:val="24"/>
          <w:szCs w:val="24"/>
        </w:rPr>
        <w:t xml:space="preserve">icitante </w:t>
      </w:r>
      <w:r>
        <w:rPr>
          <w:rFonts w:ascii="Times New Roman" w:hAnsi="Times New Roman" w:cs="Times New Roman"/>
          <w:sz w:val="24"/>
          <w:szCs w:val="24"/>
        </w:rPr>
        <w:t xml:space="preserve">a existência de Ocorrências Impeditivas Indiretas, o </w:t>
      </w:r>
      <w:r>
        <w:rPr>
          <w:rFonts w:ascii="Times New Roman" w:hAnsi="Times New Roman" w:cs="Times New Roman"/>
          <w:color w:val="auto"/>
          <w:sz w:val="24"/>
          <w:szCs w:val="24"/>
        </w:rPr>
        <w:t>Pregoeiro diligenciará para v</w:t>
      </w:r>
      <w:r>
        <w:rPr>
          <w:rFonts w:ascii="Times New Roman" w:hAnsi="Times New Roman" w:cs="Times New Roman"/>
          <w:sz w:val="24"/>
          <w:szCs w:val="24"/>
        </w:rPr>
        <w:t xml:space="preserve">erificar se houve fraude por parte das empresas apontadas no Relatório de Ocorrências Impeditivas Indiretas. </w:t>
      </w:r>
    </w:p>
    <w:p w14:paraId="5A3E4DC7">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8.3.1 A tentativa de burla será verificada por meio dos vínculos societários, linhas de fornecimento similares, dentre outros. </w:t>
      </w:r>
    </w:p>
    <w:p w14:paraId="233AAEF3">
      <w:pPr>
        <w:pStyle w:val="86"/>
        <w:spacing w:before="288" w:beforeLines="120" w:after="288" w:afterLines="120" w:line="288" w:lineRule="auto"/>
        <w:ind w:left="0" w:firstLine="0"/>
        <w:contextualSpacing/>
        <w:rPr>
          <w:rFonts w:ascii="Times New Roman" w:hAnsi="Times New Roman" w:cs="Times New Roman"/>
          <w:sz w:val="24"/>
          <w:szCs w:val="24"/>
        </w:rPr>
      </w:pPr>
    </w:p>
    <w:p w14:paraId="1D566A16">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8.3.2 O licitante será convocado para manifestação previamente a uma eventual desclassificação. </w:t>
      </w:r>
    </w:p>
    <w:p w14:paraId="17307E40">
      <w:pPr>
        <w:pStyle w:val="86"/>
        <w:spacing w:before="288" w:beforeLines="120" w:after="288" w:afterLines="120" w:line="288" w:lineRule="auto"/>
        <w:ind w:left="0" w:firstLine="0"/>
        <w:contextualSpacing/>
        <w:rPr>
          <w:rFonts w:ascii="Times New Roman" w:hAnsi="Times New Roman" w:cs="Times New Roman"/>
          <w:sz w:val="24"/>
          <w:szCs w:val="24"/>
        </w:rPr>
      </w:pPr>
    </w:p>
    <w:p w14:paraId="3A680FD4">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8.3.3 Constatada a existência de sanção, o licitante será reputado inabilitado, por falta de condição de participação.</w:t>
      </w:r>
    </w:p>
    <w:p w14:paraId="113CC88F">
      <w:pPr>
        <w:pStyle w:val="8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8.5 Será exigida a apresentação dos documentos de habilitação que trata o </w:t>
      </w:r>
      <w:r>
        <w:rPr>
          <w:rFonts w:ascii="Times New Roman" w:hAnsi="Times New Roman" w:cs="Times New Roman"/>
          <w:color w:val="auto"/>
          <w:sz w:val="24"/>
          <w:szCs w:val="24"/>
        </w:rPr>
        <w:t xml:space="preserve">Anexo referente aos requisitos de habilitação </w:t>
      </w:r>
      <w:r>
        <w:rPr>
          <w:rFonts w:ascii="Times New Roman" w:hAnsi="Times New Roman" w:cs="Times New Roman"/>
          <w:sz w:val="24"/>
          <w:szCs w:val="24"/>
        </w:rPr>
        <w:t>deste Edital apenas ao licitante vencedor.</w:t>
      </w:r>
    </w:p>
    <w:p w14:paraId="499173A4">
      <w:pPr>
        <w:pStyle w:val="83"/>
        <w:spacing w:before="57" w:beforeLines="24" w:after="57" w:afterLines="24" w:line="288" w:lineRule="auto"/>
        <w:ind w:left="0" w:right="-2" w:firstLine="0"/>
        <w:contextualSpacing/>
        <w:rPr>
          <w:rFonts w:ascii="Times New Roman" w:hAnsi="Times New Roman" w:cs="Times New Roman"/>
          <w:color w:val="auto"/>
          <w:sz w:val="24"/>
          <w:szCs w:val="24"/>
        </w:rPr>
      </w:pPr>
      <w:bookmarkStart w:id="30" w:name="_Hlk178688754"/>
    </w:p>
    <w:p w14:paraId="5D665104">
      <w:pPr>
        <w:pStyle w:val="83"/>
        <w:spacing w:before="57" w:beforeLines="24" w:after="57" w:afterLines="24"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8.6 Caso atendidas as condições de participação, a habilitação do licitante provisoriamente classificado em primeiro lugar será verificada pelo Pregoeiro por meio do registro cadastral no SICAF, quanto aos documentos por este abrangidos.</w:t>
      </w:r>
    </w:p>
    <w:p w14:paraId="393EE922">
      <w:pPr>
        <w:pStyle w:val="86"/>
        <w:spacing w:before="57" w:beforeLines="24" w:after="57" w:afterLines="24"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8.6.1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p>
    <w:p w14:paraId="3D829FA8">
      <w:pPr>
        <w:pStyle w:val="86"/>
        <w:spacing w:before="57" w:beforeLines="24" w:after="57" w:afterLines="24"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8.6.2 A não observância do disposto no item anterior poderá ensejar desclassificação no momento da habilitação, exceto se o Pregoeiro, em consulta aos sítios eletrônicos oficiais de órgãos e entidades emissores de certidões, lograr êxito em encontrar a(s) certidão(ões) válida(s).</w:t>
      </w:r>
    </w:p>
    <w:p w14:paraId="5733D5DC">
      <w:pPr>
        <w:pStyle w:val="86"/>
        <w:spacing w:before="57" w:beforeLines="24" w:after="57" w:afterLines="24"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8.6.3 Havendo a necessidade de envio de documentos de habilitação complementares, necessários à confirmação dos já apresentados para a habilitação, ou de documentos não constantes do SICAF, o licitante provisoriamente classificado em primeiro lugar será convocado a encaminhá-los, em formato digital, por meio do sistema, no prazo de até 5 (cinco) dias úteis, sob pena de inabilitação.</w:t>
      </w:r>
    </w:p>
    <w:p w14:paraId="7AA02CFD">
      <w:pPr>
        <w:pStyle w:val="86"/>
        <w:spacing w:before="57" w:beforeLines="24" w:after="57" w:afterLines="24" w:line="288" w:lineRule="auto"/>
        <w:ind w:left="0" w:right="-2" w:firstLine="0"/>
        <w:contextualSpacing/>
        <w:rPr>
          <w:rFonts w:ascii="Times New Roman" w:hAnsi="Times New Roman" w:cs="Times New Roman"/>
          <w:color w:val="FF0000"/>
          <w:sz w:val="24"/>
          <w:szCs w:val="24"/>
        </w:rPr>
      </w:pPr>
      <w:r>
        <w:rPr>
          <w:rFonts w:ascii="Times New Roman" w:hAnsi="Times New Roman" w:cs="Times New Roman"/>
          <w:color w:val="auto"/>
          <w:sz w:val="24"/>
          <w:szCs w:val="24"/>
        </w:rPr>
        <w:t>8.6.4 Somente haverá a necessidade de comprovação do preenchimento de requisitos mediante apresentação dos documentos originais não-digitais quando houver dúvida em relação à integridade do documento digital ou quando a lei expressamente o exigir.</w:t>
      </w:r>
    </w:p>
    <w:bookmarkEnd w:id="30"/>
    <w:p w14:paraId="6DEADE78">
      <w:pPr>
        <w:pStyle w:val="83"/>
        <w:spacing w:before="57" w:beforeLines="24" w:after="57" w:afterLines="24" w:line="288" w:lineRule="auto"/>
        <w:ind w:left="0" w:firstLine="0"/>
        <w:contextualSpacing/>
        <w:rPr>
          <w:rFonts w:ascii="Times New Roman" w:hAnsi="Times New Roman" w:cs="Times New Roman"/>
          <w:sz w:val="24"/>
          <w:szCs w:val="24"/>
        </w:rPr>
      </w:pPr>
    </w:p>
    <w:p w14:paraId="66658579">
      <w:pPr>
        <w:pStyle w:val="8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8.7 Após a apresentação dos documentos de habilitação, fica vedada a substituição ou a apresentação de novos documentos, salvo em sede de diligência, para:</w:t>
      </w:r>
    </w:p>
    <w:p w14:paraId="5FBE51BD">
      <w:pPr>
        <w:pStyle w:val="83"/>
        <w:spacing w:before="57" w:beforeLines="24" w:after="57" w:afterLines="24" w:line="288" w:lineRule="auto"/>
        <w:ind w:left="0" w:firstLine="0"/>
        <w:contextualSpacing/>
        <w:rPr>
          <w:rFonts w:ascii="Times New Roman" w:hAnsi="Times New Roman" w:cs="Times New Roman"/>
          <w:sz w:val="24"/>
          <w:szCs w:val="24"/>
        </w:rPr>
      </w:pPr>
    </w:p>
    <w:p w14:paraId="2352B73F">
      <w:pPr>
        <w:pStyle w:val="8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complementação de informações acerca dos documentos já apresentados pelos licitantes e desde que necessária para apurar fatos existentes à época da abertura do certame; e</w:t>
      </w:r>
    </w:p>
    <w:p w14:paraId="374CC1D5">
      <w:pPr>
        <w:pStyle w:val="83"/>
        <w:spacing w:before="57" w:beforeLines="24" w:after="57" w:afterLines="24" w:line="288" w:lineRule="auto"/>
        <w:ind w:left="0" w:firstLine="0"/>
        <w:contextualSpacing/>
        <w:rPr>
          <w:rFonts w:ascii="Times New Roman" w:hAnsi="Times New Roman" w:cs="Times New Roman"/>
          <w:sz w:val="24"/>
          <w:szCs w:val="24"/>
        </w:rPr>
      </w:pPr>
    </w:p>
    <w:p w14:paraId="16B4C8F8">
      <w:pPr>
        <w:pStyle w:val="8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b) atualização de documentos cuja validade tenha expirado após a data de recebimento das propostas.</w:t>
      </w:r>
    </w:p>
    <w:p w14:paraId="308E9B9A">
      <w:pPr>
        <w:pStyle w:val="83"/>
        <w:spacing w:before="57" w:beforeLines="24" w:after="57" w:afterLines="24" w:line="288" w:lineRule="auto"/>
        <w:ind w:left="0" w:firstLine="0"/>
        <w:contextualSpacing/>
        <w:rPr>
          <w:rFonts w:ascii="Times New Roman" w:hAnsi="Times New Roman" w:cs="Times New Roman"/>
          <w:sz w:val="24"/>
          <w:szCs w:val="24"/>
        </w:rPr>
      </w:pPr>
    </w:p>
    <w:p w14:paraId="69F41DB0">
      <w:pPr>
        <w:pStyle w:val="8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8.8 O Pregoeiro poderá, na análise dos documentos de habilitação, sanar erros ou falhas que não alterem a substância dos documentos e sua validade jurídica, mediante decisão fundamentada, registrada em ata e acessível a todos, atribuindo-lhes eficácia para fins de habilitação.</w:t>
      </w:r>
    </w:p>
    <w:p w14:paraId="5523D25C">
      <w:pPr>
        <w:pStyle w:val="83"/>
        <w:spacing w:before="57" w:beforeLines="24" w:after="57" w:afterLines="24" w:line="288" w:lineRule="auto"/>
        <w:ind w:left="0" w:firstLine="0"/>
        <w:contextualSpacing/>
        <w:rPr>
          <w:rFonts w:ascii="Times New Roman" w:hAnsi="Times New Roman" w:cs="Times New Roman"/>
          <w:sz w:val="24"/>
          <w:szCs w:val="24"/>
        </w:rPr>
      </w:pPr>
    </w:p>
    <w:p w14:paraId="5A4A0310">
      <w:pPr>
        <w:pStyle w:val="86"/>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8.8.1 Na hipótese de necessidade de suspensão da sessão pública para a realização de diligências, com vistas ao saneamento de que trata o subitem anterior, a sessão pública somente poderá ser reiniciada mediante aviso prévio no sistema com, no mínimo, vinte e quatro horas de antecedência, e a ocorrência será registrada em ata.</w:t>
      </w:r>
    </w:p>
    <w:p w14:paraId="64646F60">
      <w:pPr>
        <w:pStyle w:val="86"/>
        <w:spacing w:before="57" w:beforeLines="24" w:after="57" w:afterLines="24" w:line="288" w:lineRule="auto"/>
        <w:ind w:left="0" w:firstLine="0"/>
        <w:contextualSpacing/>
        <w:rPr>
          <w:rFonts w:ascii="Times New Roman" w:hAnsi="Times New Roman" w:cs="Times New Roman"/>
          <w:sz w:val="24"/>
          <w:szCs w:val="24"/>
        </w:rPr>
      </w:pPr>
    </w:p>
    <w:p w14:paraId="7C11ABA9">
      <w:pPr>
        <w:pStyle w:val="8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8.9 Na hipótese de o licitante provisoriamente classificado em primeiro lugar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0C7D7AA1">
      <w:pPr>
        <w:pStyle w:val="83"/>
        <w:spacing w:before="57" w:beforeLines="24" w:after="57" w:afterLines="24" w:line="288" w:lineRule="auto"/>
        <w:ind w:left="0" w:firstLine="0"/>
        <w:contextualSpacing/>
        <w:rPr>
          <w:rFonts w:ascii="Times New Roman" w:hAnsi="Times New Roman" w:cs="Times New Roman"/>
          <w:sz w:val="24"/>
          <w:szCs w:val="24"/>
        </w:rPr>
      </w:pPr>
    </w:p>
    <w:p w14:paraId="44D631BA">
      <w:pPr>
        <w:pStyle w:val="8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8.10 Constatado o atendimento às exigências de habilitação, o licitante será habilitado.</w:t>
      </w:r>
    </w:p>
    <w:p w14:paraId="683E9219">
      <w:pPr>
        <w:pStyle w:val="83"/>
        <w:spacing w:before="57" w:beforeLines="24" w:after="57" w:afterLines="24" w:line="288" w:lineRule="auto"/>
        <w:ind w:left="0" w:firstLine="0"/>
        <w:contextualSpacing/>
        <w:rPr>
          <w:rFonts w:ascii="Times New Roman" w:hAnsi="Times New Roman" w:cs="Times New Roman"/>
          <w:sz w:val="24"/>
          <w:szCs w:val="24"/>
        </w:rPr>
      </w:pPr>
    </w:p>
    <w:p w14:paraId="4377A7A4">
      <w:pPr>
        <w:pStyle w:val="8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8.11 Somente serão disponibilizados para acesso público os documentos de habilitação do licitante cuja proposta atenda ao edital de licitação, após declarada sua habilitação. </w:t>
      </w:r>
    </w:p>
    <w:p w14:paraId="60672142">
      <w:pPr>
        <w:pStyle w:val="83"/>
        <w:spacing w:before="57" w:beforeLines="24" w:after="57" w:afterLines="24" w:line="288" w:lineRule="auto"/>
        <w:ind w:left="0" w:firstLine="0"/>
        <w:contextualSpacing/>
        <w:rPr>
          <w:rFonts w:ascii="Times New Roman" w:hAnsi="Times New Roman" w:cs="Times New Roman"/>
          <w:sz w:val="24"/>
          <w:szCs w:val="24"/>
        </w:rPr>
      </w:pPr>
    </w:p>
    <w:p w14:paraId="6F73C348">
      <w:pPr>
        <w:pStyle w:val="83"/>
        <w:spacing w:before="57" w:beforeLines="24" w:after="57" w:afterLines="24"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8.12 Não serão aceitos documentos de habilitação com indicação de CNPJ/CPF diferentes, salvo aqueles legalmente permitidos.</w:t>
      </w:r>
    </w:p>
    <w:p w14:paraId="471786FC">
      <w:pPr>
        <w:pStyle w:val="83"/>
        <w:spacing w:before="57" w:beforeLines="24" w:after="57" w:afterLines="24" w:line="288" w:lineRule="auto"/>
        <w:ind w:left="0" w:firstLine="0"/>
        <w:contextualSpacing/>
        <w:rPr>
          <w:rFonts w:ascii="Times New Roman" w:hAnsi="Times New Roman" w:cs="Times New Roman"/>
          <w:color w:val="auto"/>
          <w:sz w:val="24"/>
          <w:szCs w:val="24"/>
        </w:rPr>
      </w:pPr>
    </w:p>
    <w:p w14:paraId="6CA245B0">
      <w:pPr>
        <w:pStyle w:val="86"/>
        <w:spacing w:before="57" w:beforeLines="24" w:after="57" w:afterLines="24"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8.12.1 Se o fornecedor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28587078">
      <w:pPr>
        <w:pStyle w:val="86"/>
        <w:spacing w:before="57" w:beforeLines="24" w:after="57" w:afterLines="24" w:line="288" w:lineRule="auto"/>
        <w:ind w:left="0" w:firstLine="0"/>
        <w:contextualSpacing/>
        <w:rPr>
          <w:rFonts w:ascii="Times New Roman" w:hAnsi="Times New Roman" w:cs="Times New Roman"/>
          <w:color w:val="auto"/>
          <w:sz w:val="24"/>
          <w:szCs w:val="24"/>
        </w:rPr>
      </w:pPr>
    </w:p>
    <w:p w14:paraId="63DF6510">
      <w:pPr>
        <w:pStyle w:val="86"/>
        <w:spacing w:before="57" w:beforeLines="24" w:after="57" w:afterLines="24"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8.12.2 Serão aceitos registros de CNPJ de licitante matriz e filial com diferenças de números de documentos pertinentes ao CND e ao CRF/FGTS, quando for comprovada a centralização do recolhimento dessas contribuições.</w:t>
      </w:r>
    </w:p>
    <w:p w14:paraId="0C34FCDE">
      <w:pPr>
        <w:pStyle w:val="86"/>
        <w:spacing w:before="57" w:beforeLines="24" w:after="57" w:afterLines="24" w:line="288" w:lineRule="auto"/>
        <w:ind w:left="0" w:firstLine="0"/>
        <w:contextualSpacing/>
        <w:rPr>
          <w:rFonts w:ascii="Times New Roman" w:hAnsi="Times New Roman" w:cs="Times New Roman"/>
          <w:sz w:val="24"/>
          <w:szCs w:val="24"/>
        </w:rPr>
      </w:pPr>
    </w:p>
    <w:p w14:paraId="2B6373D1">
      <w:pPr>
        <w:pStyle w:val="83"/>
        <w:spacing w:before="288" w:beforeLines="120" w:after="288" w:afterLines="120" w:line="288" w:lineRule="auto"/>
        <w:ind w:left="0" w:firstLine="0"/>
        <w:contextualSpacing/>
        <w:rPr>
          <w:rFonts w:ascii="Times New Roman" w:hAnsi="Times New Roman" w:cs="Times New Roman"/>
          <w:color w:val="auto"/>
          <w:sz w:val="24"/>
          <w:szCs w:val="24"/>
        </w:rPr>
      </w:pPr>
      <w:bookmarkStart w:id="31" w:name="_Hlk154307107"/>
      <w:r>
        <w:rPr>
          <w:rFonts w:ascii="Times New Roman" w:hAnsi="Times New Roman" w:cs="Times New Roman"/>
          <w:sz w:val="24"/>
          <w:szCs w:val="24"/>
        </w:rPr>
        <w:t xml:space="preserve">8.13 A comprovação de regularidade fiscal e trabalhista das microempresas e das empresas de pequeno porte será exigida nos termos </w:t>
      </w:r>
      <w:r>
        <w:rPr>
          <w:rFonts w:ascii="Times New Roman" w:hAnsi="Times New Roman" w:eastAsia="Zurich BT" w:cs="Times New Roman"/>
          <w:color w:val="auto"/>
          <w:sz w:val="24"/>
          <w:szCs w:val="24"/>
        </w:rPr>
        <w:t xml:space="preserve">regulamentada pelo </w:t>
      </w:r>
      <w:r>
        <w:rPr>
          <w:rFonts w:ascii="Times New Roman" w:hAnsi="Times New Roman" w:cs="Times New Roman"/>
          <w:sz w:val="24"/>
          <w:szCs w:val="24"/>
        </w:rPr>
        <w:t>Lei Municipal nº 2367/2007.</w:t>
      </w:r>
    </w:p>
    <w:p w14:paraId="215EE49B">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367477EA">
      <w:pPr>
        <w:pStyle w:val="8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8.14 No caso de contratações para entrega imediata, considerada aquela com prazo de entrega de até 30 (trinta) dias da ordem de fornecimento, cujo valor estimado da contratação não supere o limite do disposto na alínea "c" do inciso IV do Art. 75 da Lei nº 14.133/2021, nas contratações com valores inferiores a 1/4 (um quarto) do limite para dispensa de licitação para compras em geral e nas contratações de produto para pesquisa e desenvolvimento de que trata a alínea "c" do inciso IV do art. 75 da Lei nº 14.133/2021, somente será exigida:</w:t>
      </w:r>
    </w:p>
    <w:p w14:paraId="2D29192F">
      <w:pPr>
        <w:pStyle w:val="83"/>
        <w:spacing w:before="57" w:beforeLines="24" w:after="57" w:afterLines="24" w:line="288" w:lineRule="auto"/>
        <w:ind w:left="0" w:firstLine="0"/>
        <w:contextualSpacing/>
        <w:rPr>
          <w:rFonts w:ascii="Times New Roman" w:hAnsi="Times New Roman" w:cs="Times New Roman"/>
          <w:sz w:val="24"/>
          <w:szCs w:val="24"/>
        </w:rPr>
      </w:pPr>
    </w:p>
    <w:p w14:paraId="1CB7FD5D">
      <w:pPr>
        <w:pStyle w:val="8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das pessoas jurídicas, a comprovação relativa à habilitação jurídica, regularidade fiscal estadual, à Seguridade Social e ao FGTS e a regularidade perante a Justiça do Trabalho; e</w:t>
      </w:r>
    </w:p>
    <w:p w14:paraId="597F91BB">
      <w:pPr>
        <w:pStyle w:val="83"/>
        <w:spacing w:before="57" w:beforeLines="24" w:after="57" w:afterLines="24" w:line="288" w:lineRule="auto"/>
        <w:ind w:left="0" w:firstLine="0"/>
        <w:contextualSpacing/>
        <w:rPr>
          <w:rFonts w:ascii="Times New Roman" w:hAnsi="Times New Roman" w:cs="Times New Roman"/>
          <w:sz w:val="24"/>
          <w:szCs w:val="24"/>
        </w:rPr>
      </w:pPr>
    </w:p>
    <w:p w14:paraId="58A23055">
      <w:pPr>
        <w:pStyle w:val="83"/>
        <w:spacing w:before="57" w:beforeLines="24" w:after="57" w:afterLines="24" w:line="288" w:lineRule="auto"/>
        <w:ind w:left="0" w:firstLine="0"/>
        <w:contextualSpacing/>
        <w:rPr>
          <w:rFonts w:ascii="Times New Roman" w:hAnsi="Times New Roman" w:cs="Times New Roman"/>
          <w:color w:val="FF0000"/>
          <w:sz w:val="24"/>
          <w:szCs w:val="24"/>
        </w:rPr>
      </w:pPr>
      <w:r>
        <w:rPr>
          <w:rFonts w:ascii="Times New Roman" w:hAnsi="Times New Roman" w:cs="Times New Roman"/>
          <w:sz w:val="24"/>
          <w:szCs w:val="24"/>
        </w:rPr>
        <w:t xml:space="preserve">b) das pessoas físicas, a comprovação da regularidade fiscal com a Fazenda </w:t>
      </w:r>
      <w:r>
        <w:rPr>
          <w:rFonts w:ascii="Times New Roman" w:hAnsi="Times New Roman" w:cs="Times New Roman"/>
          <w:color w:val="000000" w:themeColor="text1"/>
          <w:sz w:val="24"/>
          <w:szCs w:val="24"/>
          <w14:textFill>
            <w14:solidFill>
              <w14:schemeClr w14:val="tx1"/>
            </w14:solidFill>
          </w14:textFill>
        </w:rPr>
        <w:t>Estadual, c</w:t>
      </w:r>
      <w:r>
        <w:rPr>
          <w:rFonts w:ascii="Times New Roman" w:hAnsi="Times New Roman" w:cs="Times New Roman"/>
          <w:color w:val="000000" w:themeColor="text1"/>
          <w:sz w:val="24"/>
          <w:szCs w:val="24"/>
          <w:lang w:eastAsia="en-US"/>
          <w14:textFill>
            <w14:solidFill>
              <w14:schemeClr w14:val="tx1"/>
            </w14:solidFill>
          </w14:textFill>
        </w:rPr>
        <w:t>onforme art. 17, §2º, do Decreto nº 45/2025.</w:t>
      </w:r>
    </w:p>
    <w:p w14:paraId="61251733">
      <w:pPr>
        <w:pStyle w:val="83"/>
        <w:spacing w:before="57" w:beforeLines="24" w:after="57" w:afterLines="24" w:line="288" w:lineRule="auto"/>
        <w:ind w:left="0" w:firstLine="0"/>
        <w:contextualSpacing/>
        <w:rPr>
          <w:rFonts w:ascii="Times New Roman" w:hAnsi="Times New Roman" w:cs="Times New Roman"/>
          <w:sz w:val="24"/>
          <w:szCs w:val="24"/>
        </w:rPr>
      </w:pPr>
    </w:p>
    <w:bookmarkEnd w:id="31"/>
    <w:p w14:paraId="66F7F610">
      <w:pPr>
        <w:pStyle w:val="8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8.15 Quando permitida a participação de empresas estrangeiras que não funcionem no País, as exigências de habilitação serão atendidas mediante documentos equivalentes, inicialmente apresentados em tradução livre.</w:t>
      </w:r>
    </w:p>
    <w:p w14:paraId="51A7AB4A">
      <w:pPr>
        <w:pStyle w:val="83"/>
        <w:spacing w:before="57" w:beforeLines="24" w:after="57" w:afterLines="24" w:line="288" w:lineRule="auto"/>
        <w:ind w:left="0" w:firstLine="0"/>
        <w:contextualSpacing/>
        <w:rPr>
          <w:rFonts w:ascii="Times New Roman" w:hAnsi="Times New Roman" w:cs="Times New Roman"/>
          <w:sz w:val="24"/>
          <w:szCs w:val="24"/>
        </w:rPr>
      </w:pPr>
    </w:p>
    <w:p w14:paraId="286309CE">
      <w:pPr>
        <w:pStyle w:val="86"/>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8.15.1 O licitante deverá ter procurador residente e domiciliado no Brasil, com poderes para receber citação, intimação e responder administrativa e judicialmente por seus atos, juntando o instrumento de mandato com os documentos de habilitação.</w:t>
      </w:r>
    </w:p>
    <w:p w14:paraId="7A7BE818">
      <w:pPr>
        <w:pStyle w:val="86"/>
        <w:spacing w:before="57" w:beforeLines="24" w:after="57" w:afterLines="24" w:line="288" w:lineRule="auto"/>
        <w:ind w:left="0" w:firstLine="0"/>
        <w:contextualSpacing/>
        <w:rPr>
          <w:rFonts w:ascii="Times New Roman" w:hAnsi="Times New Roman" w:cs="Times New Roman"/>
          <w:sz w:val="24"/>
          <w:szCs w:val="24"/>
        </w:rPr>
      </w:pPr>
    </w:p>
    <w:p w14:paraId="7E83CCC3">
      <w:pPr>
        <w:pStyle w:val="86"/>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8.15.2 Na hipótese de o licitante vencedor ser empresa estrangeira que não funcione no País, para fins de assinatura do contrato ou da ata de registro de preços, os documentos exigidos para a habilitação serão traduzidos por tradutor juramentado no País e apostilados, ou consularizados pelos respectivos consulados ou embaixadas.</w:t>
      </w:r>
    </w:p>
    <w:p w14:paraId="21535259">
      <w:pPr>
        <w:pStyle w:val="86"/>
        <w:spacing w:before="57" w:beforeLines="24" w:after="57" w:afterLines="24" w:line="288" w:lineRule="auto"/>
        <w:ind w:left="0" w:firstLine="0"/>
        <w:contextualSpacing/>
        <w:rPr>
          <w:rFonts w:ascii="Times New Roman" w:hAnsi="Times New Roman" w:cs="Times New Roman"/>
          <w:sz w:val="24"/>
          <w:szCs w:val="24"/>
        </w:rPr>
      </w:pPr>
    </w:p>
    <w:p w14:paraId="148ADD67">
      <w:pPr>
        <w:pStyle w:val="8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8.16 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2E5C6D52">
      <w:pPr>
        <w:pStyle w:val="83"/>
        <w:spacing w:before="57" w:beforeLines="24" w:after="57" w:afterLines="24" w:line="288" w:lineRule="auto"/>
        <w:ind w:left="0" w:firstLine="0"/>
        <w:contextualSpacing/>
        <w:rPr>
          <w:rFonts w:ascii="Times New Roman" w:hAnsi="Times New Roman" w:cs="Times New Roman"/>
          <w:sz w:val="24"/>
          <w:szCs w:val="24"/>
        </w:rPr>
      </w:pPr>
    </w:p>
    <w:p w14:paraId="02AA2386">
      <w:pPr>
        <w:pStyle w:val="86"/>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8.16.1 Se o consórcio não for formado integralmente por microempresas ou empresas de pequeno porte e forem exigidos neste Edital requisitos de habilitação econômico-financeira, haverá um acréscimo </w:t>
      </w:r>
      <w:r>
        <w:rPr>
          <w:rFonts w:ascii="Times New Roman" w:hAnsi="Times New Roman" w:cs="Times New Roman"/>
          <w:color w:val="000000" w:themeColor="text1"/>
          <w:sz w:val="24"/>
          <w:szCs w:val="24"/>
          <w14:textFill>
            <w14:solidFill>
              <w14:schemeClr w14:val="tx1"/>
            </w14:solidFill>
          </w14:textFill>
        </w:rPr>
        <w:t xml:space="preserve">de 10% A 30 % </w:t>
      </w:r>
      <w:r>
        <w:rPr>
          <w:rFonts w:ascii="Times New Roman" w:hAnsi="Times New Roman" w:cs="Times New Roman"/>
          <w:sz w:val="24"/>
          <w:szCs w:val="24"/>
        </w:rPr>
        <w:t>para o consórcio em relação ao valor exigido para os licitantes individuais.</w:t>
      </w:r>
    </w:p>
    <w:p w14:paraId="20223099">
      <w:pPr>
        <w:pStyle w:val="86"/>
        <w:spacing w:before="57" w:beforeLines="24" w:after="57" w:afterLines="24" w:line="288" w:lineRule="auto"/>
        <w:ind w:left="0" w:firstLine="0"/>
        <w:contextualSpacing/>
        <w:rPr>
          <w:rFonts w:ascii="Times New Roman" w:hAnsi="Times New Roman" w:cs="Times New Roman"/>
          <w:sz w:val="24"/>
          <w:szCs w:val="24"/>
        </w:rPr>
      </w:pPr>
    </w:p>
    <w:p w14:paraId="5AAF32ED">
      <w:pPr>
        <w:spacing w:line="288" w:lineRule="auto"/>
        <w:contextualSpacing/>
        <w:jc w:val="both"/>
        <w:rPr>
          <w:color w:val="000000"/>
          <w:sz w:val="24"/>
          <w:szCs w:val="24"/>
        </w:rPr>
      </w:pPr>
      <w:r>
        <w:rPr>
          <w:color w:val="000000"/>
          <w:sz w:val="24"/>
          <w:szCs w:val="24"/>
        </w:rPr>
        <w:t>8.17 As certidões valerão nos prazos que lhes são próprios. Inexistindo esse prazo, reputar-se-ão válidas por 90 (noventa) dias, contados de sua expedição.</w:t>
      </w:r>
    </w:p>
    <w:p w14:paraId="0E4183AB">
      <w:pPr>
        <w:spacing w:line="288" w:lineRule="auto"/>
        <w:contextualSpacing/>
        <w:jc w:val="both"/>
        <w:rPr>
          <w:color w:val="000000"/>
          <w:sz w:val="24"/>
          <w:szCs w:val="24"/>
        </w:rPr>
      </w:pPr>
    </w:p>
    <w:p w14:paraId="0264FB3C">
      <w:pPr>
        <w:spacing w:line="288" w:lineRule="auto"/>
        <w:contextualSpacing/>
        <w:jc w:val="both"/>
        <w:rPr>
          <w:color w:val="000000"/>
          <w:sz w:val="24"/>
          <w:szCs w:val="24"/>
        </w:rPr>
      </w:pPr>
      <w:r>
        <w:rPr>
          <w:color w:val="000000"/>
          <w:sz w:val="24"/>
          <w:szCs w:val="24"/>
        </w:rPr>
        <w:t>8.17.1 Caso seja feita a opção pela opção da certidão referida no item 8.6.2, esta seguirá, como prazo de validade, a sistemática própria estabelecida em âmbito federal constante do SICAF.</w:t>
      </w:r>
    </w:p>
    <w:p w14:paraId="7706E48A">
      <w:pPr>
        <w:pStyle w:val="85"/>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 DA IMPUGNAÇÃO AO EDITAL, DO PEDIDO DE ESCLARECIMENTO E DOS RECURSOS</w:t>
      </w:r>
    </w:p>
    <w:p w14:paraId="5E7A87BB">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 Qualquer pessoa é parte legítima para impugnar este Edital por irregularidade na aplicação da </w:t>
      </w:r>
      <w:r>
        <w:fldChar w:fldCharType="begin"/>
      </w:r>
      <w:r>
        <w:instrText xml:space="preserve"> HYPERLINK "http://www.planalto.gov.br/ccivil_03/_ato2019-2022/2021/lei/L14133.htm" </w:instrText>
      </w:r>
      <w:r>
        <w:fldChar w:fldCharType="separate"/>
      </w:r>
      <w:r>
        <w:rPr>
          <w:rStyle w:val="14"/>
          <w:rFonts w:ascii="Times New Roman" w:hAnsi="Times New Roman" w:cs="Times New Roman" w:eastAsiaTheme="minorHAnsi"/>
          <w:color w:val="auto"/>
          <w:sz w:val="24"/>
          <w:szCs w:val="24"/>
        </w:rPr>
        <w:t>Lei nº 14.133/2021</w:t>
      </w:r>
      <w:r>
        <w:rPr>
          <w:rStyle w:val="14"/>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devendo protocolar o pedido até 3 (três) dias úteis antes da data da abertura do certame.</w:t>
      </w:r>
    </w:p>
    <w:p w14:paraId="1DB5FC9C">
      <w:pPr>
        <w:pStyle w:val="83"/>
        <w:spacing w:before="288" w:beforeLines="120" w:after="288" w:afterLines="120" w:line="288" w:lineRule="auto"/>
        <w:ind w:left="0" w:firstLine="0"/>
        <w:contextualSpacing/>
        <w:rPr>
          <w:rFonts w:ascii="Times New Roman" w:hAnsi="Times New Roman" w:cs="Times New Roman"/>
          <w:sz w:val="24"/>
          <w:szCs w:val="24"/>
        </w:rPr>
      </w:pPr>
    </w:p>
    <w:p w14:paraId="69A8A0D2">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9.1.1 A impugnação e o pedido de esclarecimento poderão ser realizados por forma eletrônica, através do e-mail funcional </w:t>
      </w:r>
      <w:r>
        <w:rPr>
          <w:rFonts w:ascii="Times New Roman" w:hAnsi="Times New Roman" w:cs="Times New Roman"/>
          <w:b/>
          <w:bCs/>
          <w:i/>
          <w:iCs/>
          <w:sz w:val="24"/>
          <w:szCs w:val="24"/>
          <w:u w:val="single"/>
        </w:rPr>
        <w:t>licitacoespmvrj@gmail.com</w:t>
      </w:r>
      <w:r>
        <w:rPr>
          <w:rFonts w:ascii="Times New Roman" w:hAnsi="Times New Roman" w:cs="Times New Roman"/>
          <w:color w:val="auto"/>
          <w:sz w:val="24"/>
          <w:szCs w:val="24"/>
        </w:rPr>
        <w:t xml:space="preserve">, </w:t>
      </w:r>
      <w:r>
        <w:rPr>
          <w:rFonts w:ascii="Times New Roman" w:hAnsi="Times New Roman" w:cs="Times New Roman"/>
          <w:sz w:val="24"/>
          <w:szCs w:val="24"/>
        </w:rPr>
        <w:t>mediante confirmação de recebimento.</w:t>
      </w:r>
    </w:p>
    <w:p w14:paraId="052E8251">
      <w:pPr>
        <w:pStyle w:val="83"/>
        <w:spacing w:before="288" w:beforeLines="120" w:after="288" w:afterLines="120" w:line="288" w:lineRule="auto"/>
        <w:ind w:left="0" w:firstLine="0"/>
        <w:contextualSpacing/>
        <w:rPr>
          <w:rFonts w:ascii="Times New Roman" w:hAnsi="Times New Roman" w:cs="Times New Roman"/>
          <w:sz w:val="24"/>
          <w:szCs w:val="24"/>
        </w:rPr>
      </w:pPr>
    </w:p>
    <w:p w14:paraId="644A11B9">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9.1.2 A resposta à impugnação ou ao pedido de esclarecimento será divulgado em sítio eletrônico oficial no prazo de até 3 (três) dias úteis, limitado ao último dia útil anterior à data da abertura do certame.</w:t>
      </w:r>
    </w:p>
    <w:p w14:paraId="0896DE2C">
      <w:pPr>
        <w:pStyle w:val="83"/>
        <w:spacing w:before="288" w:beforeLines="120" w:after="288" w:afterLines="120" w:line="288" w:lineRule="auto"/>
        <w:ind w:left="0" w:firstLine="0"/>
        <w:contextualSpacing/>
        <w:rPr>
          <w:rFonts w:ascii="Times New Roman" w:hAnsi="Times New Roman" w:cs="Times New Roman"/>
          <w:sz w:val="24"/>
          <w:szCs w:val="24"/>
        </w:rPr>
      </w:pPr>
    </w:p>
    <w:p w14:paraId="1ED5EA0B">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9.1.3 As impugnações e pedidos de esclarecimentos não suspendem os prazos previstos no certame.</w:t>
      </w:r>
    </w:p>
    <w:p w14:paraId="0F807A58">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9.1.4 A concessão de efeito suspensivo à impugnação é medida excepcional e deverá ser motivada pela autoridade competente, nos autos do processo de licitação.</w:t>
      </w:r>
    </w:p>
    <w:p w14:paraId="4EE24D59">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9.1.5 Modificado substancialmente o edital como resultado da resposta à impugnação ou ao pedido de esclarecimento, será definida e publicada nova data para a realização do certame.</w:t>
      </w:r>
    </w:p>
    <w:p w14:paraId="5ABE1ED4">
      <w:pPr>
        <w:pStyle w:val="83"/>
        <w:spacing w:before="57" w:beforeLines="24" w:after="57" w:afterLines="24" w:line="288" w:lineRule="auto"/>
        <w:ind w:left="0" w:firstLine="0"/>
        <w:contextualSpacing/>
        <w:rPr>
          <w:rFonts w:ascii="Times New Roman" w:hAnsi="Times New Roman" w:cs="Times New Roman"/>
          <w:sz w:val="24"/>
          <w:szCs w:val="24"/>
        </w:rPr>
      </w:pPr>
    </w:p>
    <w:p w14:paraId="4AB1A081">
      <w:pPr>
        <w:pStyle w:val="8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9.2 Qualquer licitante poderá, durante o prazo de 15 minutos após o término do julgamento das propostas e do ato de habilitação ou inabilitação, em campo próprio do sistema, manifestar sua intenção de recorrer, sob pena de preclusão, ficando a autoridade superior autorizada a adjudicar o objeto ao licitante declarado vencedor. </w:t>
      </w:r>
    </w:p>
    <w:p w14:paraId="1B674783">
      <w:pPr>
        <w:pStyle w:val="86"/>
        <w:spacing w:before="57" w:beforeLines="24" w:after="57" w:afterLines="24" w:line="288" w:lineRule="auto"/>
        <w:ind w:left="0" w:firstLine="0"/>
        <w:contextualSpacing/>
        <w:rPr>
          <w:rFonts w:ascii="Times New Roman" w:hAnsi="Times New Roman" w:cs="Times New Roman"/>
          <w:sz w:val="24"/>
          <w:szCs w:val="24"/>
        </w:rPr>
      </w:pPr>
    </w:p>
    <w:p w14:paraId="642F2D7A">
      <w:pPr>
        <w:pStyle w:val="86"/>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9.2.1 As razões do recurso deverão ser apresentadas em momento único, no prazo de três dias úteis, em campo próprio do sistema eletrônico de contratações ou, em sua indisponibilidade, para o e-mail funcional </w:t>
      </w:r>
      <w:r>
        <w:rPr>
          <w:rFonts w:ascii="Times New Roman" w:hAnsi="Times New Roman" w:cs="Times New Roman"/>
          <w:b/>
          <w:i/>
          <w:sz w:val="24"/>
          <w:szCs w:val="24"/>
          <w:u w:val="single"/>
        </w:rPr>
        <w:t>licitacoespmvrj@gmail.com</w:t>
      </w:r>
      <w:r>
        <w:rPr>
          <w:rFonts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sz w:val="24"/>
          <w:szCs w:val="24"/>
        </w:rPr>
        <w:t xml:space="preserve"> mediante confirmação de recebimento, contados:</w:t>
      </w:r>
    </w:p>
    <w:p w14:paraId="00F086B4">
      <w:pPr>
        <w:pStyle w:val="86"/>
        <w:spacing w:before="57" w:beforeLines="24" w:after="57" w:afterLines="24" w:line="288" w:lineRule="auto"/>
        <w:ind w:left="0" w:firstLine="0"/>
        <w:contextualSpacing/>
        <w:rPr>
          <w:rFonts w:ascii="Times New Roman" w:hAnsi="Times New Roman" w:cs="Times New Roman"/>
          <w:sz w:val="24"/>
          <w:szCs w:val="24"/>
        </w:rPr>
      </w:pPr>
    </w:p>
    <w:p w14:paraId="266C51A7">
      <w:pPr>
        <w:pStyle w:val="86"/>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a partir da data de intimação ou de lavratura da ata de habilitação ou inabilitação;</w:t>
      </w:r>
    </w:p>
    <w:p w14:paraId="2485383B">
      <w:pPr>
        <w:pStyle w:val="86"/>
        <w:spacing w:before="57" w:beforeLines="24" w:after="57" w:afterLines="24" w:line="288" w:lineRule="auto"/>
        <w:ind w:left="0" w:firstLine="0"/>
        <w:contextualSpacing/>
        <w:rPr>
          <w:rFonts w:ascii="Times New Roman" w:hAnsi="Times New Roman" w:cs="Times New Roman"/>
          <w:sz w:val="24"/>
          <w:szCs w:val="24"/>
        </w:rPr>
      </w:pPr>
    </w:p>
    <w:p w14:paraId="25CAF621">
      <w:pPr>
        <w:pStyle w:val="86"/>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b) a partir da ata de julgamento, nas licitações com inversão de fases.</w:t>
      </w:r>
    </w:p>
    <w:p w14:paraId="76512524">
      <w:pPr>
        <w:pStyle w:val="86"/>
        <w:spacing w:before="57" w:beforeLines="24" w:after="57" w:afterLines="24" w:line="288" w:lineRule="auto"/>
        <w:ind w:left="0" w:firstLine="0"/>
        <w:contextualSpacing/>
        <w:rPr>
          <w:rFonts w:ascii="Times New Roman" w:hAnsi="Times New Roman" w:cs="Times New Roman"/>
          <w:sz w:val="24"/>
          <w:szCs w:val="24"/>
        </w:rPr>
      </w:pPr>
    </w:p>
    <w:p w14:paraId="220AD3C6">
      <w:pPr>
        <w:pStyle w:val="86"/>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9.2.2 Os demais licitantes ficarão intimados para, se desejarem, apresentar suas contrarrazões, no prazo de três dias úteis, contado da data de intimação pessoal ou de divulgação da interposição do recurso.</w:t>
      </w:r>
    </w:p>
    <w:p w14:paraId="146B0E33">
      <w:pPr>
        <w:pStyle w:val="86"/>
        <w:spacing w:before="57" w:beforeLines="24" w:after="57" w:afterLines="24" w:line="288" w:lineRule="auto"/>
        <w:ind w:left="0" w:firstLine="0"/>
        <w:contextualSpacing/>
        <w:rPr>
          <w:rFonts w:ascii="Times New Roman" w:hAnsi="Times New Roman" w:cs="Times New Roman"/>
          <w:sz w:val="24"/>
          <w:szCs w:val="24"/>
        </w:rPr>
      </w:pPr>
    </w:p>
    <w:p w14:paraId="6A0C8800">
      <w:pPr>
        <w:pStyle w:val="86"/>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9.2.3 Os recursos interpostos fora do prazo não serão conhecidos.</w:t>
      </w:r>
    </w:p>
    <w:p w14:paraId="7DCA6128">
      <w:pPr>
        <w:pStyle w:val="86"/>
        <w:spacing w:before="57" w:beforeLines="24" w:after="57" w:afterLines="24" w:line="288" w:lineRule="auto"/>
        <w:ind w:left="0" w:firstLine="0"/>
        <w:contextualSpacing/>
        <w:rPr>
          <w:rFonts w:ascii="Times New Roman" w:hAnsi="Times New Roman" w:cs="Times New Roman"/>
          <w:sz w:val="24"/>
          <w:szCs w:val="24"/>
        </w:rPr>
      </w:pPr>
    </w:p>
    <w:p w14:paraId="57FE30B8">
      <w:pPr>
        <w:pStyle w:val="8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9.2.4 Caberá ao Pregoeiro, no prazo de 3 (três) dias úteis, receber, examinar e decidir os recursos e encaminhá-los à autoridade superior quando mantiver sua decisão, a qual deverá proferir sua decisão no prazo de 10 (dez) dias úteis, contado do recebimento dos autos.</w:t>
      </w:r>
    </w:p>
    <w:p w14:paraId="4D9FDFFB">
      <w:pPr>
        <w:pStyle w:val="83"/>
        <w:spacing w:before="57" w:beforeLines="24" w:after="57" w:afterLines="24" w:line="288" w:lineRule="auto"/>
        <w:ind w:left="0" w:firstLine="0"/>
        <w:contextualSpacing/>
        <w:rPr>
          <w:rFonts w:ascii="Times New Roman" w:hAnsi="Times New Roman" w:cs="Times New Roman"/>
          <w:sz w:val="24"/>
          <w:szCs w:val="24"/>
        </w:rPr>
      </w:pPr>
    </w:p>
    <w:p w14:paraId="0960718F">
      <w:pPr>
        <w:pStyle w:val="8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9.2.5 Será assegurado ao licitante vista dos elementos indispensáveis à defesa de seus interesses.</w:t>
      </w:r>
    </w:p>
    <w:p w14:paraId="53F13877">
      <w:pPr>
        <w:pStyle w:val="83"/>
        <w:spacing w:before="57" w:beforeLines="24" w:after="57" w:afterLines="24" w:line="288" w:lineRule="auto"/>
        <w:ind w:left="0" w:firstLine="0"/>
        <w:contextualSpacing/>
        <w:rPr>
          <w:rFonts w:ascii="Times New Roman" w:hAnsi="Times New Roman" w:cs="Times New Roman"/>
          <w:sz w:val="24"/>
          <w:szCs w:val="24"/>
        </w:rPr>
      </w:pPr>
    </w:p>
    <w:p w14:paraId="68100BF0">
      <w:pPr>
        <w:pStyle w:val="8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9.2.6 O recurso e o pedido de reconsideração terão efeito suspensivo do ato ou da decisão recorrida até que sobrevenha decisão final da autoridade competente.</w:t>
      </w:r>
    </w:p>
    <w:p w14:paraId="4AA6E6CE">
      <w:pPr>
        <w:pStyle w:val="83"/>
        <w:spacing w:before="57" w:beforeLines="24" w:after="57" w:afterLines="24" w:line="288" w:lineRule="auto"/>
        <w:ind w:left="0" w:firstLine="0"/>
        <w:contextualSpacing/>
        <w:rPr>
          <w:rFonts w:ascii="Times New Roman" w:hAnsi="Times New Roman" w:cs="Times New Roman"/>
          <w:sz w:val="24"/>
          <w:szCs w:val="24"/>
        </w:rPr>
      </w:pPr>
    </w:p>
    <w:p w14:paraId="7FF146E5">
      <w:pPr>
        <w:pStyle w:val="8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9.2.7 O acolhimento do recurso invalida tão somente os atos insuscetíveis de aproveitamento. </w:t>
      </w:r>
    </w:p>
    <w:p w14:paraId="6639CC21">
      <w:pPr>
        <w:pStyle w:val="81"/>
        <w:spacing w:before="0" w:beforeAutospacing="0" w:after="0" w:afterAutospacing="0" w:line="288" w:lineRule="auto"/>
        <w:contextualSpacing/>
        <w:jc w:val="both"/>
        <w:rPr>
          <w:rFonts w:eastAsia="Calibri"/>
          <w:b/>
          <w:bCs/>
          <w:lang w:eastAsia="en-US"/>
        </w:rPr>
      </w:pPr>
    </w:p>
    <w:p w14:paraId="52590174">
      <w:pPr>
        <w:spacing w:line="288" w:lineRule="auto"/>
        <w:contextualSpacing/>
        <w:jc w:val="both"/>
        <w:rPr>
          <w:b/>
          <w:bCs/>
          <w:sz w:val="24"/>
          <w:szCs w:val="24"/>
        </w:rPr>
      </w:pPr>
      <w:r>
        <w:rPr>
          <w:b/>
          <w:bCs/>
          <w:sz w:val="24"/>
          <w:szCs w:val="24"/>
        </w:rPr>
        <w:t>10. DO ENCERRAMENTO DA LICITAÇÃO</w:t>
      </w:r>
    </w:p>
    <w:p w14:paraId="3B999575">
      <w:pPr>
        <w:spacing w:line="288" w:lineRule="auto"/>
        <w:contextualSpacing/>
        <w:jc w:val="both"/>
        <w:rPr>
          <w:sz w:val="24"/>
          <w:szCs w:val="24"/>
        </w:rPr>
      </w:pPr>
    </w:p>
    <w:p w14:paraId="0E078CF0">
      <w:pPr>
        <w:spacing w:line="288" w:lineRule="auto"/>
        <w:contextualSpacing/>
        <w:jc w:val="both"/>
        <w:rPr>
          <w:sz w:val="24"/>
          <w:szCs w:val="24"/>
        </w:rPr>
      </w:pPr>
      <w:r>
        <w:rPr>
          <w:sz w:val="24"/>
          <w:szCs w:val="24"/>
        </w:rPr>
        <w:t>10.1 Encerradas as fases de julgamento e habilitação, e exauridos os recursos administrativos, o processo licitatório será encaminhado à autoridade superior, que poderá proceder na forma dos incisos I a III do art. 71 da Lei nº 14.133/2021, ou adjudicar o objeto e homologar a licitação, quando verificada a regularidade do procedimento.</w:t>
      </w:r>
    </w:p>
    <w:p w14:paraId="52B68816">
      <w:pPr>
        <w:pStyle w:val="81"/>
        <w:spacing w:before="0" w:beforeAutospacing="0" w:after="0" w:afterAutospacing="0" w:line="288" w:lineRule="auto"/>
        <w:contextualSpacing/>
        <w:jc w:val="both"/>
        <w:rPr>
          <w:rFonts w:eastAsia="Calibri"/>
          <w:b/>
          <w:bCs/>
          <w:lang w:eastAsia="en-US"/>
        </w:rPr>
      </w:pPr>
    </w:p>
    <w:p w14:paraId="3F8F96F9">
      <w:pPr>
        <w:pStyle w:val="81"/>
        <w:spacing w:before="0" w:beforeAutospacing="0" w:after="0" w:afterAutospacing="0" w:line="288" w:lineRule="auto"/>
        <w:contextualSpacing/>
        <w:jc w:val="both"/>
        <w:rPr>
          <w:rFonts w:eastAsia="Calibri"/>
          <w:b/>
          <w:bCs/>
          <w:lang w:eastAsia="en-US"/>
        </w:rPr>
      </w:pPr>
      <w:r>
        <w:rPr>
          <w:rFonts w:eastAsia="Calibri"/>
          <w:b/>
          <w:bCs/>
          <w:lang w:eastAsia="en-US"/>
        </w:rPr>
        <w:t>11. DA ATA DE REGISTRO DE PREÇOS</w:t>
      </w:r>
    </w:p>
    <w:p w14:paraId="029FA647">
      <w:pPr>
        <w:pStyle w:val="81"/>
        <w:spacing w:before="0" w:beforeAutospacing="0" w:after="0" w:afterAutospacing="0" w:line="288" w:lineRule="auto"/>
        <w:contextualSpacing/>
        <w:jc w:val="both"/>
        <w:rPr>
          <w:rFonts w:eastAsia="Calibri"/>
          <w:lang w:eastAsia="en-US"/>
        </w:rPr>
      </w:pPr>
    </w:p>
    <w:p w14:paraId="41BAA0C6">
      <w:pPr>
        <w:pStyle w:val="81"/>
        <w:spacing w:before="0" w:beforeAutospacing="0" w:after="0" w:afterAutospacing="0" w:line="288" w:lineRule="auto"/>
        <w:contextualSpacing/>
        <w:jc w:val="both"/>
      </w:pPr>
      <w:r>
        <w:rPr>
          <w:rFonts w:eastAsia="Calibri"/>
          <w:lang w:eastAsia="en-US"/>
        </w:rPr>
        <w:t xml:space="preserve">11.1 </w:t>
      </w:r>
      <w:r>
        <w:t>Homologado o resultado do processo licitatório, o(s) licitante(s) melhor classificado(s), deverá(ão) ser convocado(s) para assinar a Ata de Registro de Preços, no prazo de 5 (cinco) dias úteis, sob pena de decair o direito, sem prejuízo das sanções previstas na Lei nº 14.133/2021 e neste Edital.</w:t>
      </w:r>
    </w:p>
    <w:p w14:paraId="2FB6A180">
      <w:pPr>
        <w:pStyle w:val="81"/>
        <w:spacing w:before="0" w:beforeAutospacing="0" w:after="0" w:afterAutospacing="0" w:line="288" w:lineRule="auto"/>
        <w:contextualSpacing/>
        <w:jc w:val="both"/>
      </w:pPr>
    </w:p>
    <w:p w14:paraId="1EF821C0">
      <w:pPr>
        <w:pStyle w:val="81"/>
        <w:spacing w:before="0" w:beforeAutospacing="0" w:after="0" w:afterAutospacing="0" w:line="288" w:lineRule="auto"/>
        <w:contextualSpacing/>
        <w:jc w:val="both"/>
      </w:pPr>
      <w:r>
        <w:t>11.1.1 O prazo para assinatura da Ata poderá ser prorrogado uma vez, por igual período, desde que:</w:t>
      </w:r>
    </w:p>
    <w:p w14:paraId="30337900">
      <w:pPr>
        <w:pStyle w:val="81"/>
        <w:spacing w:before="0" w:beforeAutospacing="0" w:after="0" w:afterAutospacing="0" w:line="288" w:lineRule="auto"/>
        <w:contextualSpacing/>
        <w:jc w:val="both"/>
      </w:pPr>
    </w:p>
    <w:p w14:paraId="41B5BBF5">
      <w:pPr>
        <w:pStyle w:val="81"/>
        <w:spacing w:before="0" w:beforeAutospacing="0" w:after="0" w:afterAutospacing="0" w:line="288" w:lineRule="auto"/>
        <w:contextualSpacing/>
        <w:jc w:val="both"/>
      </w:pPr>
      <w:r>
        <w:t>a) a solicitação seja justificada pelo licitante melhor classificado e apresentada dentro do prazo; e</w:t>
      </w:r>
    </w:p>
    <w:p w14:paraId="73F8805D">
      <w:pPr>
        <w:pStyle w:val="81"/>
        <w:spacing w:before="0" w:beforeAutospacing="0" w:after="0" w:afterAutospacing="0" w:line="288" w:lineRule="auto"/>
        <w:contextualSpacing/>
        <w:jc w:val="both"/>
      </w:pPr>
    </w:p>
    <w:p w14:paraId="1F61723D">
      <w:pPr>
        <w:pStyle w:val="81"/>
        <w:spacing w:before="0" w:beforeAutospacing="0" w:after="0" w:afterAutospacing="0" w:line="288" w:lineRule="auto"/>
        <w:contextualSpacing/>
        <w:jc w:val="both"/>
      </w:pPr>
      <w:r>
        <w:t>b) a justificativa apresentada seja aceita pela Administração.</w:t>
      </w:r>
    </w:p>
    <w:p w14:paraId="78684AC6">
      <w:pPr>
        <w:pStyle w:val="81"/>
        <w:spacing w:before="0" w:beforeAutospacing="0" w:after="0" w:afterAutospacing="0" w:line="288" w:lineRule="auto"/>
        <w:contextualSpacing/>
        <w:jc w:val="both"/>
      </w:pPr>
    </w:p>
    <w:p w14:paraId="54098C1C">
      <w:pPr>
        <w:pStyle w:val="81"/>
        <w:spacing w:before="0" w:beforeAutospacing="0" w:after="0" w:afterAutospacing="0" w:line="288" w:lineRule="auto"/>
        <w:contextualSpacing/>
        <w:jc w:val="both"/>
      </w:pPr>
      <w:r>
        <w:t xml:space="preserve">11.2 Serão formalizadas tantas Atas de Registro de Preços quantas forem necessárias para o registro de todos os itens constantes no Termo de Referência, com a descrição do licitante vencedor, a descrição </w:t>
      </w:r>
      <w:r>
        <w:rPr>
          <w:color w:val="000000" w:themeColor="text1"/>
          <w14:textFill>
            <w14:solidFill>
              <w14:schemeClr w14:val="tx1"/>
            </w14:solidFill>
          </w14:textFill>
        </w:rPr>
        <w:t xml:space="preserve">dos itens, as </w:t>
      </w:r>
      <w:r>
        <w:t>respectivas quantidades, preços registrados e os demais requisitos estabelecidos no art. 19 do Decreto nº 46/2025.</w:t>
      </w:r>
    </w:p>
    <w:p w14:paraId="0D50E385">
      <w:pPr>
        <w:pStyle w:val="81"/>
        <w:spacing w:before="0" w:beforeAutospacing="0" w:after="0" w:afterAutospacing="0" w:line="288" w:lineRule="auto"/>
        <w:contextualSpacing/>
        <w:jc w:val="both"/>
      </w:pPr>
    </w:p>
    <w:p w14:paraId="73351485">
      <w:pPr>
        <w:pStyle w:val="81"/>
        <w:spacing w:before="0" w:beforeAutospacing="0" w:after="0" w:afterAutospacing="0" w:line="288" w:lineRule="auto"/>
        <w:contextualSpacing/>
        <w:jc w:val="both"/>
      </w:pPr>
      <w:r>
        <w:t>11.2.1 Quando a quantidade ofertada pelo primeiro colocado não for suficiente para suprir a demanda estimada, ao preço do primeiro colocado poderão ser registrados tantos fornecedores quantos necessários para que, em função das propostas apresentadas, seja atingida a quantidade total estimada para o item ou grupo de itens.</w:t>
      </w:r>
    </w:p>
    <w:p w14:paraId="56611CCA">
      <w:pPr>
        <w:pStyle w:val="81"/>
        <w:spacing w:before="0" w:beforeAutospacing="0" w:after="0" w:afterAutospacing="0" w:line="288" w:lineRule="auto"/>
        <w:contextualSpacing/>
        <w:jc w:val="both"/>
      </w:pPr>
    </w:p>
    <w:p w14:paraId="669A4F91">
      <w:pPr>
        <w:pStyle w:val="81"/>
        <w:spacing w:before="0" w:beforeAutospacing="0" w:after="0" w:afterAutospacing="0" w:line="288" w:lineRule="auto"/>
        <w:contextualSpacing/>
        <w:jc w:val="both"/>
      </w:pPr>
      <w:r>
        <w:t>11.3 O registro de preços e as atas dele decorrentes deverão ser divulgados no Portal Nacional de Contratações Públicas - PNCP e no Portal do Município de Valença RJ.</w:t>
      </w:r>
    </w:p>
    <w:p w14:paraId="48EB53E1">
      <w:pPr>
        <w:pStyle w:val="81"/>
        <w:spacing w:before="0" w:beforeAutospacing="0" w:after="0" w:afterAutospacing="0" w:line="288" w:lineRule="auto"/>
        <w:contextualSpacing/>
        <w:jc w:val="both"/>
      </w:pPr>
    </w:p>
    <w:p w14:paraId="06FDAF4A">
      <w:pPr>
        <w:pStyle w:val="81"/>
        <w:spacing w:before="0" w:beforeAutospacing="0" w:after="0" w:afterAutospacing="0" w:line="288" w:lineRule="auto"/>
        <w:contextualSpacing/>
        <w:jc w:val="both"/>
      </w:pPr>
      <w:r>
        <w:t xml:space="preserve">11.4 A existência de preços registrados implicará compromisso de fornecimento nas condições estabelecidas, mas não obrigará a Administração a contratar, facultada a realização de licitação para a aquisição pretendida, desde que devidamente motivada. </w:t>
      </w:r>
    </w:p>
    <w:p w14:paraId="4D3A6779">
      <w:pPr>
        <w:pStyle w:val="81"/>
        <w:spacing w:before="0" w:beforeAutospacing="0" w:after="0" w:afterAutospacing="0" w:line="288" w:lineRule="auto"/>
        <w:contextualSpacing/>
        <w:jc w:val="both"/>
      </w:pPr>
    </w:p>
    <w:p w14:paraId="54A072A2">
      <w:pPr>
        <w:pStyle w:val="81"/>
        <w:spacing w:before="0" w:beforeAutospacing="0" w:after="0" w:afterAutospacing="0" w:line="288" w:lineRule="auto"/>
        <w:contextualSpacing/>
        <w:jc w:val="both"/>
      </w:pPr>
      <w:r>
        <w:t>11.5 É facultado à Administração, quando o(s) fornecedor(es) convocado(s) não assinar(em) a Ata de Registro de Preços no prazo e condições estabelecidas, convocar os proponentes do Cadastro de Reserva, na ordem de classificação, para fazê-lo em igual prazo e nas mesmas condições propostas pelo primeiro classificado, de modo a integrar a Ata na qualidade de fornecedor.</w:t>
      </w:r>
    </w:p>
    <w:p w14:paraId="2A5A9D59">
      <w:pPr>
        <w:pStyle w:val="81"/>
        <w:spacing w:before="0" w:beforeAutospacing="0" w:after="0" w:afterAutospacing="0" w:line="288" w:lineRule="auto"/>
        <w:contextualSpacing/>
        <w:jc w:val="both"/>
      </w:pPr>
    </w:p>
    <w:p w14:paraId="715339C5">
      <w:pPr>
        <w:autoSpaceDE w:val="0"/>
        <w:autoSpaceDN w:val="0"/>
        <w:adjustRightInd w:val="0"/>
        <w:spacing w:line="288" w:lineRule="auto"/>
        <w:contextualSpacing/>
        <w:jc w:val="both"/>
        <w:rPr>
          <w:sz w:val="24"/>
          <w:szCs w:val="24"/>
        </w:rPr>
      </w:pPr>
      <w:r>
        <w:rPr>
          <w:sz w:val="24"/>
          <w:szCs w:val="24"/>
        </w:rPr>
        <w:t xml:space="preserve">11.6 O prazo de validade da Ata de Registro de Preços é de 1 (um) ano, contado a partir do 1º (primeiro) dia útil subsequente à data de divulgação no PNCP. </w:t>
      </w:r>
    </w:p>
    <w:p w14:paraId="20DC1DA0">
      <w:pPr>
        <w:autoSpaceDE w:val="0"/>
        <w:autoSpaceDN w:val="0"/>
        <w:adjustRightInd w:val="0"/>
        <w:spacing w:line="288" w:lineRule="auto"/>
        <w:contextualSpacing/>
        <w:jc w:val="both"/>
        <w:rPr>
          <w:color w:val="231F20"/>
          <w:sz w:val="24"/>
          <w:szCs w:val="24"/>
        </w:rPr>
      </w:pPr>
    </w:p>
    <w:p w14:paraId="37693BB2">
      <w:pPr>
        <w:autoSpaceDE w:val="0"/>
        <w:autoSpaceDN w:val="0"/>
        <w:adjustRightInd w:val="0"/>
        <w:spacing w:line="288" w:lineRule="auto"/>
        <w:contextualSpacing/>
        <w:jc w:val="both"/>
        <w:rPr>
          <w:sz w:val="24"/>
          <w:szCs w:val="24"/>
        </w:rPr>
      </w:pPr>
      <w:r>
        <w:rPr>
          <w:color w:val="231F20"/>
          <w:sz w:val="24"/>
          <w:szCs w:val="24"/>
        </w:rPr>
        <w:t xml:space="preserve">11.6.1 </w:t>
      </w:r>
      <w:r>
        <w:rPr>
          <w:sz w:val="24"/>
          <w:szCs w:val="24"/>
        </w:rPr>
        <w:t>O prazo de vigência da Ata de Registro de Preços poderá ser prorrogado, por igual período, mediante termo aditivo, desde que as condições e os preços permaneçam vantajosos, observados os requisitos estabelecidos no art. 20 do Decreto nº 46/2025 e na referida Ata.</w:t>
      </w:r>
    </w:p>
    <w:p w14:paraId="5B23FAD2">
      <w:pPr>
        <w:autoSpaceDE w:val="0"/>
        <w:autoSpaceDN w:val="0"/>
        <w:adjustRightInd w:val="0"/>
        <w:spacing w:line="288" w:lineRule="auto"/>
        <w:contextualSpacing/>
        <w:jc w:val="both"/>
        <w:rPr>
          <w:sz w:val="24"/>
          <w:szCs w:val="24"/>
        </w:rPr>
      </w:pPr>
    </w:p>
    <w:p w14:paraId="0E5A3E5B">
      <w:pPr>
        <w:spacing w:line="288" w:lineRule="auto"/>
        <w:contextualSpacing/>
        <w:jc w:val="both"/>
        <w:rPr>
          <w:color w:val="231F20"/>
          <w:sz w:val="24"/>
          <w:szCs w:val="24"/>
        </w:rPr>
      </w:pPr>
      <w:r>
        <w:rPr>
          <w:sz w:val="24"/>
          <w:szCs w:val="24"/>
        </w:rPr>
        <w:t>11.7</w:t>
      </w:r>
      <w:r>
        <w:rPr>
          <w:bCs/>
          <w:sz w:val="24"/>
          <w:szCs w:val="24"/>
        </w:rPr>
        <w:t xml:space="preserve"> Na forma dos arts. 27 e 28 do Decreto nº 46/2025, o</w:t>
      </w:r>
      <w:r>
        <w:rPr>
          <w:sz w:val="24"/>
          <w:szCs w:val="24"/>
        </w:rPr>
        <w:t xml:space="preserve">s preços registrados poderão ser revistos e alterados em decorrência de eventual redução dos preços praticados no mercado ou de fato que eleve o custo dos bens, obras ou serviços registrados, em caso de força maior, caso fortuito ou fato do príncipe ou em decorrência de fatos imprevisíveis ou previsíveis de consequências incalculáveis, que inviabilizem a execução da Ata tal como pactuado, nos termos da alínea d do inciso II do </w:t>
      </w:r>
      <w:r>
        <w:rPr>
          <w:i/>
          <w:iCs/>
          <w:sz w:val="24"/>
          <w:szCs w:val="24"/>
        </w:rPr>
        <w:t>caput</w:t>
      </w:r>
      <w:r>
        <w:rPr>
          <w:sz w:val="24"/>
          <w:szCs w:val="24"/>
        </w:rPr>
        <w:t xml:space="preserve"> do art. 124 da Lei nº 14.133/2021</w:t>
      </w:r>
      <w:r>
        <w:rPr>
          <w:color w:val="231F20"/>
          <w:sz w:val="24"/>
          <w:szCs w:val="24"/>
        </w:rPr>
        <w:t>.</w:t>
      </w:r>
    </w:p>
    <w:p w14:paraId="3716EA66">
      <w:pPr>
        <w:autoSpaceDE w:val="0"/>
        <w:autoSpaceDN w:val="0"/>
        <w:adjustRightInd w:val="0"/>
        <w:spacing w:line="288" w:lineRule="auto"/>
        <w:contextualSpacing/>
        <w:jc w:val="both"/>
        <w:rPr>
          <w:sz w:val="24"/>
          <w:szCs w:val="24"/>
        </w:rPr>
      </w:pPr>
    </w:p>
    <w:p w14:paraId="052B0D85">
      <w:pPr>
        <w:autoSpaceDE w:val="0"/>
        <w:autoSpaceDN w:val="0"/>
        <w:adjustRightInd w:val="0"/>
        <w:spacing w:line="288" w:lineRule="auto"/>
        <w:contextualSpacing/>
        <w:jc w:val="both"/>
        <w:rPr>
          <w:sz w:val="24"/>
          <w:szCs w:val="24"/>
        </w:rPr>
      </w:pPr>
      <w:r>
        <w:rPr>
          <w:sz w:val="24"/>
          <w:szCs w:val="24"/>
        </w:rPr>
        <w:t>11.7.1 Os preços registrados poderão, ainda, ser reajustados ou repactuados, observando-se as regras estabelecidas no item 18 deste Edital, nos termos da Lei nº 14.133/2021.</w:t>
      </w:r>
    </w:p>
    <w:p w14:paraId="5FB25F36">
      <w:pPr>
        <w:autoSpaceDE w:val="0"/>
        <w:autoSpaceDN w:val="0"/>
        <w:adjustRightInd w:val="0"/>
        <w:spacing w:line="288" w:lineRule="auto"/>
        <w:contextualSpacing/>
        <w:jc w:val="both"/>
        <w:rPr>
          <w:sz w:val="24"/>
          <w:szCs w:val="24"/>
        </w:rPr>
      </w:pPr>
    </w:p>
    <w:p w14:paraId="58FB87C9">
      <w:pPr>
        <w:pStyle w:val="81"/>
        <w:spacing w:before="0" w:beforeAutospacing="0" w:after="0" w:afterAutospacing="0" w:line="288" w:lineRule="auto"/>
        <w:contextualSpacing/>
        <w:jc w:val="both"/>
      </w:pPr>
      <w:r>
        <w:t>11.7.2 As condições para alteração ou atualização dos preços registrados se encontram previstas na Ata de Registro de Preços.</w:t>
      </w:r>
    </w:p>
    <w:p w14:paraId="44951CCF">
      <w:pPr>
        <w:pStyle w:val="81"/>
        <w:spacing w:before="0" w:beforeAutospacing="0" w:after="0" w:afterAutospacing="0" w:line="288" w:lineRule="auto"/>
        <w:contextualSpacing/>
        <w:jc w:val="both"/>
      </w:pPr>
    </w:p>
    <w:p w14:paraId="277F1588">
      <w:pPr>
        <w:spacing w:line="288" w:lineRule="auto"/>
        <w:contextualSpacing/>
        <w:jc w:val="both"/>
        <w:rPr>
          <w:sz w:val="24"/>
          <w:szCs w:val="24"/>
        </w:rPr>
      </w:pPr>
      <w:r>
        <w:rPr>
          <w:sz w:val="24"/>
          <w:szCs w:val="24"/>
        </w:rPr>
        <w:t xml:space="preserve">11.8 </w:t>
      </w:r>
      <w:r>
        <w:rPr>
          <w:color w:val="231F20"/>
          <w:sz w:val="24"/>
          <w:szCs w:val="24"/>
        </w:rPr>
        <w:t>O registro do fornecedor será cancelado, na forma do art. 31 do Decreto nº 46/2025 da Ata de Registro de Preços, quando:</w:t>
      </w:r>
    </w:p>
    <w:p w14:paraId="5169BE33">
      <w:pPr>
        <w:autoSpaceDE w:val="0"/>
        <w:autoSpaceDN w:val="0"/>
        <w:adjustRightInd w:val="0"/>
        <w:spacing w:line="288" w:lineRule="auto"/>
        <w:contextualSpacing/>
        <w:jc w:val="both"/>
        <w:rPr>
          <w:b/>
          <w:bCs/>
          <w:color w:val="231F20"/>
          <w:sz w:val="24"/>
          <w:szCs w:val="24"/>
        </w:rPr>
      </w:pPr>
    </w:p>
    <w:p w14:paraId="60B2826B">
      <w:pPr>
        <w:autoSpaceDE w:val="0"/>
        <w:autoSpaceDN w:val="0"/>
        <w:adjustRightInd w:val="0"/>
        <w:spacing w:line="288" w:lineRule="auto"/>
        <w:contextualSpacing/>
        <w:jc w:val="both"/>
        <w:rPr>
          <w:color w:val="231F20"/>
          <w:sz w:val="24"/>
          <w:szCs w:val="24"/>
        </w:rPr>
      </w:pPr>
      <w:r>
        <w:rPr>
          <w:color w:val="231F20"/>
          <w:sz w:val="24"/>
          <w:szCs w:val="24"/>
        </w:rPr>
        <w:t>a) forem descumpridas as condições da Ata de Registro de Preços, sem motivo justificado;</w:t>
      </w:r>
    </w:p>
    <w:p w14:paraId="3B421F2F">
      <w:pPr>
        <w:autoSpaceDE w:val="0"/>
        <w:autoSpaceDN w:val="0"/>
        <w:adjustRightInd w:val="0"/>
        <w:spacing w:line="288" w:lineRule="auto"/>
        <w:contextualSpacing/>
        <w:jc w:val="both"/>
        <w:rPr>
          <w:color w:val="231F20"/>
          <w:sz w:val="24"/>
          <w:szCs w:val="24"/>
        </w:rPr>
      </w:pPr>
    </w:p>
    <w:p w14:paraId="72B31F85">
      <w:pPr>
        <w:autoSpaceDE w:val="0"/>
        <w:autoSpaceDN w:val="0"/>
        <w:adjustRightInd w:val="0"/>
        <w:spacing w:line="288" w:lineRule="auto"/>
        <w:contextualSpacing/>
        <w:jc w:val="both"/>
        <w:rPr>
          <w:color w:val="231F20"/>
          <w:sz w:val="24"/>
          <w:szCs w:val="24"/>
        </w:rPr>
      </w:pPr>
      <w:r>
        <w:rPr>
          <w:color w:val="231F20"/>
          <w:sz w:val="24"/>
          <w:szCs w:val="24"/>
        </w:rPr>
        <w:t xml:space="preserve">b) </w:t>
      </w:r>
      <w:r>
        <w:rPr>
          <w:sz w:val="24"/>
          <w:szCs w:val="24"/>
        </w:rPr>
        <w:t>não assinar o contrato ou não retirar a nota de empenho ou instrumento equivalente no prazo estabelecido pela Administração, sem justificativa aceitável;</w:t>
      </w:r>
    </w:p>
    <w:p w14:paraId="5CCD1C2A">
      <w:pPr>
        <w:autoSpaceDE w:val="0"/>
        <w:autoSpaceDN w:val="0"/>
        <w:adjustRightInd w:val="0"/>
        <w:spacing w:line="288" w:lineRule="auto"/>
        <w:contextualSpacing/>
        <w:jc w:val="both"/>
        <w:rPr>
          <w:color w:val="231F20"/>
          <w:sz w:val="24"/>
          <w:szCs w:val="24"/>
        </w:rPr>
      </w:pPr>
    </w:p>
    <w:p w14:paraId="43BE51FF">
      <w:pPr>
        <w:autoSpaceDE w:val="0"/>
        <w:autoSpaceDN w:val="0"/>
        <w:adjustRightInd w:val="0"/>
        <w:spacing w:line="288" w:lineRule="auto"/>
        <w:contextualSpacing/>
        <w:jc w:val="both"/>
        <w:rPr>
          <w:color w:val="231F20"/>
          <w:sz w:val="24"/>
          <w:szCs w:val="24"/>
        </w:rPr>
      </w:pPr>
      <w:r>
        <w:rPr>
          <w:color w:val="231F20"/>
          <w:sz w:val="24"/>
          <w:szCs w:val="24"/>
        </w:rPr>
        <w:t>c) não aceitar reduzir o seu preço registrado, na hipótese deste se tornar superior àqueles praticados no mercado; ou</w:t>
      </w:r>
    </w:p>
    <w:p w14:paraId="775C7C33">
      <w:pPr>
        <w:autoSpaceDE w:val="0"/>
        <w:autoSpaceDN w:val="0"/>
        <w:adjustRightInd w:val="0"/>
        <w:spacing w:line="288" w:lineRule="auto"/>
        <w:contextualSpacing/>
        <w:jc w:val="both"/>
        <w:rPr>
          <w:color w:val="231F20"/>
          <w:sz w:val="24"/>
          <w:szCs w:val="24"/>
        </w:rPr>
      </w:pPr>
    </w:p>
    <w:p w14:paraId="3215A531">
      <w:pPr>
        <w:autoSpaceDE w:val="0"/>
        <w:autoSpaceDN w:val="0"/>
        <w:adjustRightInd w:val="0"/>
        <w:spacing w:line="288" w:lineRule="auto"/>
        <w:contextualSpacing/>
        <w:jc w:val="both"/>
        <w:rPr>
          <w:sz w:val="24"/>
          <w:szCs w:val="24"/>
        </w:rPr>
      </w:pPr>
      <w:r>
        <w:rPr>
          <w:color w:val="231F20"/>
          <w:sz w:val="24"/>
          <w:szCs w:val="24"/>
        </w:rPr>
        <w:t xml:space="preserve">d) </w:t>
      </w:r>
      <w:r>
        <w:rPr>
          <w:sz w:val="24"/>
          <w:szCs w:val="24"/>
        </w:rPr>
        <w:t xml:space="preserve">sofrer sanção prevista nos incisos III ou IV do </w:t>
      </w:r>
      <w:r>
        <w:rPr>
          <w:i/>
          <w:iCs/>
          <w:sz w:val="24"/>
          <w:szCs w:val="24"/>
        </w:rPr>
        <w:t>caput</w:t>
      </w:r>
      <w:r>
        <w:rPr>
          <w:sz w:val="24"/>
          <w:szCs w:val="24"/>
        </w:rPr>
        <w:t xml:space="preserve"> do art. 156 da Lei nº 14.133/2021, observado os §§ 4º e 5º do referido dispositivo. </w:t>
      </w:r>
    </w:p>
    <w:p w14:paraId="036F1B9A">
      <w:pPr>
        <w:autoSpaceDE w:val="0"/>
        <w:autoSpaceDN w:val="0"/>
        <w:adjustRightInd w:val="0"/>
        <w:spacing w:line="288" w:lineRule="auto"/>
        <w:contextualSpacing/>
        <w:jc w:val="both"/>
        <w:rPr>
          <w:sz w:val="24"/>
          <w:szCs w:val="24"/>
        </w:rPr>
      </w:pPr>
    </w:p>
    <w:p w14:paraId="58828B68">
      <w:pPr>
        <w:autoSpaceDE w:val="0"/>
        <w:autoSpaceDN w:val="0"/>
        <w:adjustRightInd w:val="0"/>
        <w:spacing w:line="288" w:lineRule="auto"/>
        <w:contextualSpacing/>
        <w:jc w:val="both"/>
        <w:rPr>
          <w:sz w:val="24"/>
          <w:szCs w:val="24"/>
        </w:rPr>
      </w:pPr>
      <w:r>
        <w:rPr>
          <w:color w:val="231F20"/>
          <w:sz w:val="24"/>
          <w:szCs w:val="24"/>
        </w:rPr>
        <w:t>11.9 O cancelamento do registro de preços poderá ocorrer</w:t>
      </w:r>
      <w:r>
        <w:rPr>
          <w:sz w:val="24"/>
          <w:szCs w:val="24"/>
        </w:rPr>
        <w:t xml:space="preserve">, total ou parcialmente, pelo gerenciador, </w:t>
      </w:r>
      <w:r>
        <w:rPr>
          <w:color w:val="231F20"/>
          <w:sz w:val="24"/>
          <w:szCs w:val="24"/>
        </w:rPr>
        <w:t>na forma do art. 32 do Decreto nº 46/2025 e da Ata de Registro de Preços,</w:t>
      </w:r>
      <w:r>
        <w:rPr>
          <w:sz w:val="24"/>
          <w:szCs w:val="24"/>
        </w:rPr>
        <w:t xml:space="preserve"> desde que devidamente comprovados e justificados: </w:t>
      </w:r>
    </w:p>
    <w:p w14:paraId="232AF1EB">
      <w:pPr>
        <w:autoSpaceDE w:val="0"/>
        <w:autoSpaceDN w:val="0"/>
        <w:adjustRightInd w:val="0"/>
        <w:spacing w:line="288" w:lineRule="auto"/>
        <w:contextualSpacing/>
        <w:jc w:val="both"/>
        <w:rPr>
          <w:sz w:val="24"/>
          <w:szCs w:val="24"/>
        </w:rPr>
      </w:pPr>
    </w:p>
    <w:p w14:paraId="418F95BE">
      <w:pPr>
        <w:autoSpaceDE w:val="0"/>
        <w:autoSpaceDN w:val="0"/>
        <w:adjustRightInd w:val="0"/>
        <w:spacing w:line="288" w:lineRule="auto"/>
        <w:contextualSpacing/>
        <w:jc w:val="both"/>
        <w:rPr>
          <w:sz w:val="24"/>
          <w:szCs w:val="24"/>
        </w:rPr>
      </w:pPr>
      <w:r>
        <w:rPr>
          <w:sz w:val="24"/>
          <w:szCs w:val="24"/>
        </w:rPr>
        <w:t xml:space="preserve">a)  por razão de interesse público; </w:t>
      </w:r>
    </w:p>
    <w:p w14:paraId="3C707DE7">
      <w:pPr>
        <w:autoSpaceDE w:val="0"/>
        <w:autoSpaceDN w:val="0"/>
        <w:adjustRightInd w:val="0"/>
        <w:spacing w:line="288" w:lineRule="auto"/>
        <w:contextualSpacing/>
        <w:jc w:val="both"/>
        <w:rPr>
          <w:sz w:val="24"/>
          <w:szCs w:val="24"/>
        </w:rPr>
      </w:pPr>
    </w:p>
    <w:p w14:paraId="429AE5A1">
      <w:pPr>
        <w:autoSpaceDE w:val="0"/>
        <w:autoSpaceDN w:val="0"/>
        <w:adjustRightInd w:val="0"/>
        <w:spacing w:line="288" w:lineRule="auto"/>
        <w:contextualSpacing/>
        <w:jc w:val="both"/>
        <w:rPr>
          <w:sz w:val="24"/>
          <w:szCs w:val="24"/>
        </w:rPr>
      </w:pPr>
      <w:r>
        <w:rPr>
          <w:sz w:val="24"/>
          <w:szCs w:val="24"/>
        </w:rPr>
        <w:t xml:space="preserve">b) pelo cancelamento de todos os preços registrados; ou </w:t>
      </w:r>
    </w:p>
    <w:p w14:paraId="4B681BBE">
      <w:pPr>
        <w:autoSpaceDE w:val="0"/>
        <w:autoSpaceDN w:val="0"/>
        <w:adjustRightInd w:val="0"/>
        <w:spacing w:line="288" w:lineRule="auto"/>
        <w:contextualSpacing/>
        <w:jc w:val="both"/>
        <w:rPr>
          <w:sz w:val="24"/>
          <w:szCs w:val="24"/>
        </w:rPr>
      </w:pPr>
    </w:p>
    <w:p w14:paraId="73FD2216">
      <w:pPr>
        <w:autoSpaceDE w:val="0"/>
        <w:autoSpaceDN w:val="0"/>
        <w:adjustRightInd w:val="0"/>
        <w:spacing w:line="288" w:lineRule="auto"/>
        <w:contextualSpacing/>
        <w:jc w:val="both"/>
        <w:rPr>
          <w:sz w:val="24"/>
          <w:szCs w:val="24"/>
        </w:rPr>
      </w:pPr>
      <w:r>
        <w:rPr>
          <w:sz w:val="24"/>
          <w:szCs w:val="24"/>
        </w:rPr>
        <w:t xml:space="preserve">c) a pedido do </w:t>
      </w:r>
      <w:r>
        <w:rPr>
          <w:color w:val="231F20"/>
          <w:sz w:val="24"/>
          <w:szCs w:val="24"/>
        </w:rPr>
        <w:t>fornecedor</w:t>
      </w:r>
      <w:r>
        <w:rPr>
          <w:sz w:val="24"/>
          <w:szCs w:val="24"/>
        </w:rPr>
        <w:t>, decorrente de fato superveniente, de caso fortuito ou força maior, que prejudique o cumprimento da Ata.</w:t>
      </w:r>
    </w:p>
    <w:p w14:paraId="51118C91">
      <w:pPr>
        <w:pStyle w:val="81"/>
        <w:spacing w:before="0" w:beforeAutospacing="0" w:after="0" w:afterAutospacing="0" w:line="288" w:lineRule="auto"/>
        <w:contextualSpacing/>
        <w:jc w:val="both"/>
      </w:pPr>
      <w:r>
        <w:t xml:space="preserve"> </w:t>
      </w:r>
    </w:p>
    <w:p w14:paraId="294A8A24">
      <w:pPr>
        <w:spacing w:line="288" w:lineRule="auto"/>
        <w:contextualSpacing/>
        <w:jc w:val="both"/>
        <w:rPr>
          <w:sz w:val="24"/>
          <w:szCs w:val="24"/>
        </w:rPr>
      </w:pPr>
      <w:r>
        <w:rPr>
          <w:sz w:val="24"/>
          <w:szCs w:val="24"/>
        </w:rPr>
        <w:t>11.10 Compete ao gerenciador aplicar, garantida a ampla defesa e o contraditório, as penalidades decorrentes do descumprimento do pactuado neste Edital e na Ata de Registro de Preços ou do descumprimento das obrigações contratuais, em relação às suas próprias contratações, e promover as publicações, encaminhamentos e registros cabíveis.</w:t>
      </w:r>
    </w:p>
    <w:p w14:paraId="2BA25D66">
      <w:pPr>
        <w:spacing w:line="288" w:lineRule="auto"/>
        <w:contextualSpacing/>
        <w:jc w:val="both"/>
        <w:rPr>
          <w:sz w:val="24"/>
          <w:szCs w:val="24"/>
        </w:rPr>
      </w:pPr>
    </w:p>
    <w:p w14:paraId="0EE5CF20">
      <w:pPr>
        <w:spacing w:line="288" w:lineRule="auto"/>
        <w:contextualSpacing/>
        <w:jc w:val="both"/>
        <w:rPr>
          <w:sz w:val="24"/>
          <w:szCs w:val="24"/>
        </w:rPr>
      </w:pPr>
      <w:r>
        <w:rPr>
          <w:sz w:val="24"/>
          <w:szCs w:val="24"/>
        </w:rPr>
        <w:t xml:space="preserve">11.11 Compete aos participantes e aos </w:t>
      </w:r>
      <w:r>
        <w:rPr>
          <w:bCs/>
          <w:color w:val="231F20"/>
          <w:sz w:val="24"/>
          <w:szCs w:val="24"/>
        </w:rPr>
        <w:t xml:space="preserve">não-participantes </w:t>
      </w:r>
      <w:r>
        <w:rPr>
          <w:sz w:val="24"/>
          <w:szCs w:val="24"/>
        </w:rPr>
        <w:t>aplicar, quando admitidos, garantida a ampla defesa e o contraditório, as penalidades decorrentes do descumprimento das obrigações contratuais, em relação às suas próprias contratações, e promover as publicações, encaminhamentos e registros cabíveis.</w:t>
      </w:r>
    </w:p>
    <w:p w14:paraId="2147B387">
      <w:pPr>
        <w:pStyle w:val="81"/>
        <w:spacing w:before="0" w:beforeAutospacing="0" w:after="0" w:afterAutospacing="0" w:line="288" w:lineRule="auto"/>
        <w:contextualSpacing/>
        <w:jc w:val="both"/>
        <w:rPr>
          <w:rFonts w:asciiTheme="minorHAnsi" w:hAnsiTheme="minorHAnsi" w:cstheme="minorHAnsi"/>
        </w:rPr>
      </w:pPr>
    </w:p>
    <w:p w14:paraId="56BEFEA9">
      <w:pPr>
        <w:pStyle w:val="81"/>
        <w:spacing w:before="0" w:beforeAutospacing="0" w:after="0" w:afterAutospacing="0" w:line="288" w:lineRule="auto"/>
        <w:contextualSpacing/>
        <w:jc w:val="both"/>
      </w:pPr>
      <w:r>
        <w:rPr>
          <w:b/>
          <w:bCs/>
        </w:rPr>
        <w:t>12. FORMAÇÃO DO CADASTRO DE RESERVA</w:t>
      </w:r>
    </w:p>
    <w:p w14:paraId="783C7135">
      <w:pPr>
        <w:pStyle w:val="81"/>
        <w:spacing w:before="0" w:beforeAutospacing="0" w:after="0" w:afterAutospacing="0" w:line="288" w:lineRule="auto"/>
        <w:contextualSpacing/>
        <w:jc w:val="both"/>
      </w:pPr>
    </w:p>
    <w:p w14:paraId="41CFF9F6">
      <w:pPr>
        <w:pStyle w:val="81"/>
        <w:spacing w:before="0" w:beforeAutospacing="0" w:after="0" w:afterAutospacing="0" w:line="288" w:lineRule="auto"/>
        <w:contextualSpacing/>
        <w:jc w:val="both"/>
      </w:pPr>
      <w:r>
        <w:t xml:space="preserve">12.1 Após a fase recursal, os licitantes serão convocados para reduzir seus preços ao valor da proposta do proponente melhor classificado, ocasião na qual será oportunizada a formação de eventual Cadastro de Reserva. </w:t>
      </w:r>
    </w:p>
    <w:p w14:paraId="62B52802">
      <w:pPr>
        <w:pStyle w:val="81"/>
        <w:spacing w:before="0" w:beforeAutospacing="0" w:after="0" w:afterAutospacing="0" w:line="288" w:lineRule="auto"/>
        <w:contextualSpacing/>
        <w:jc w:val="both"/>
      </w:pPr>
    </w:p>
    <w:p w14:paraId="5ACCC62B">
      <w:pPr>
        <w:pStyle w:val="81"/>
        <w:spacing w:before="0" w:beforeAutospacing="0" w:after="0" w:afterAutospacing="0" w:line="288" w:lineRule="auto"/>
        <w:contextualSpacing/>
        <w:jc w:val="both"/>
      </w:pPr>
      <w:r>
        <w:t xml:space="preserve">12.1.1 A apresentação de novas propostas na forma do </w:t>
      </w:r>
      <w:r>
        <w:rPr>
          <w:i/>
          <w:iCs/>
        </w:rPr>
        <w:t>caput</w:t>
      </w:r>
      <w:r>
        <w:t xml:space="preserve"> deste item não prejudicará o resultado do certame, inclusive quanto à ordem de classificação das propostas.</w:t>
      </w:r>
    </w:p>
    <w:p w14:paraId="7CDB399B">
      <w:pPr>
        <w:pStyle w:val="81"/>
        <w:spacing w:before="0" w:beforeAutospacing="0" w:after="0" w:afterAutospacing="0" w:line="288" w:lineRule="auto"/>
        <w:contextualSpacing/>
        <w:jc w:val="both"/>
      </w:pPr>
    </w:p>
    <w:p w14:paraId="013DF549">
      <w:pPr>
        <w:pStyle w:val="81"/>
        <w:spacing w:before="0" w:beforeAutospacing="0" w:after="0" w:afterAutospacing="0" w:line="288" w:lineRule="auto"/>
        <w:contextualSpacing/>
        <w:jc w:val="both"/>
      </w:pPr>
      <w:r>
        <w:t xml:space="preserve">12.2 Homologada a licitação, deverão ser registrados na Ata de Registro de Preços, para fins de formação de Cadastro de Reserva: </w:t>
      </w:r>
    </w:p>
    <w:p w14:paraId="40F79C4E">
      <w:pPr>
        <w:pStyle w:val="81"/>
        <w:spacing w:before="0" w:beforeAutospacing="0" w:after="0" w:afterAutospacing="0" w:line="288" w:lineRule="auto"/>
        <w:contextualSpacing/>
        <w:jc w:val="both"/>
      </w:pPr>
    </w:p>
    <w:p w14:paraId="76342B4F">
      <w:pPr>
        <w:pStyle w:val="81"/>
        <w:spacing w:before="0" w:beforeAutospacing="0" w:after="0" w:afterAutospacing="0" w:line="288" w:lineRule="auto"/>
        <w:contextualSpacing/>
        <w:jc w:val="both"/>
      </w:pPr>
      <w:r>
        <w:t xml:space="preserve">12.2.1 os licitantes que aceitarem cotar os bens ou serviços com preços iguais aos do proponente vencedor do certame, observada a ordem de classificação; e </w:t>
      </w:r>
    </w:p>
    <w:p w14:paraId="4A6E6C3C">
      <w:pPr>
        <w:pStyle w:val="81"/>
        <w:spacing w:before="0" w:beforeAutospacing="0" w:after="0" w:afterAutospacing="0" w:line="288" w:lineRule="auto"/>
        <w:contextualSpacing/>
        <w:jc w:val="both"/>
      </w:pPr>
    </w:p>
    <w:p w14:paraId="093B216D">
      <w:pPr>
        <w:pStyle w:val="81"/>
        <w:spacing w:before="0" w:beforeAutospacing="0" w:after="0" w:afterAutospacing="0" w:line="288" w:lineRule="auto"/>
        <w:contextualSpacing/>
        <w:jc w:val="both"/>
      </w:pPr>
      <w:r>
        <w:t xml:space="preserve">12.2.2 os proponentes que mantiverem sua proposta original. </w:t>
      </w:r>
    </w:p>
    <w:p w14:paraId="3C7E0E17">
      <w:pPr>
        <w:autoSpaceDE w:val="0"/>
        <w:autoSpaceDN w:val="0"/>
        <w:adjustRightInd w:val="0"/>
        <w:spacing w:line="288" w:lineRule="auto"/>
        <w:contextualSpacing/>
        <w:jc w:val="both"/>
        <w:rPr>
          <w:color w:val="231F20"/>
          <w:sz w:val="24"/>
          <w:szCs w:val="24"/>
        </w:rPr>
      </w:pPr>
    </w:p>
    <w:p w14:paraId="4AEF6ABC">
      <w:pPr>
        <w:autoSpaceDE w:val="0"/>
        <w:autoSpaceDN w:val="0"/>
        <w:adjustRightInd w:val="0"/>
        <w:spacing w:line="288" w:lineRule="auto"/>
        <w:contextualSpacing/>
        <w:jc w:val="both"/>
        <w:rPr>
          <w:color w:val="231F20"/>
          <w:sz w:val="24"/>
          <w:szCs w:val="24"/>
        </w:rPr>
      </w:pPr>
      <w:r>
        <w:rPr>
          <w:color w:val="231F20"/>
          <w:sz w:val="24"/>
          <w:szCs w:val="24"/>
        </w:rPr>
        <w:t>12.3 A ordem de classificação dos registrados na Ata deverá ser respeitada para as contratações, cabendo ao gerenciador realizar os devidos registros na Ata de Registro de Preços, para a sua atualização.</w:t>
      </w:r>
    </w:p>
    <w:p w14:paraId="5DDE9B17">
      <w:pPr>
        <w:autoSpaceDE w:val="0"/>
        <w:autoSpaceDN w:val="0"/>
        <w:adjustRightInd w:val="0"/>
        <w:spacing w:line="288" w:lineRule="auto"/>
        <w:contextualSpacing/>
        <w:jc w:val="both"/>
        <w:rPr>
          <w:color w:val="231F20"/>
          <w:sz w:val="24"/>
          <w:szCs w:val="24"/>
        </w:rPr>
      </w:pPr>
    </w:p>
    <w:p w14:paraId="3FF0B7AB">
      <w:pPr>
        <w:autoSpaceDE w:val="0"/>
        <w:autoSpaceDN w:val="0"/>
        <w:adjustRightInd w:val="0"/>
        <w:spacing w:line="288" w:lineRule="auto"/>
        <w:contextualSpacing/>
        <w:jc w:val="both"/>
        <w:rPr>
          <w:color w:val="231F20"/>
          <w:sz w:val="24"/>
          <w:szCs w:val="24"/>
        </w:rPr>
      </w:pPr>
      <w:r>
        <w:rPr>
          <w:color w:val="231F20"/>
          <w:sz w:val="24"/>
          <w:szCs w:val="24"/>
        </w:rPr>
        <w:t xml:space="preserve">12.4 </w:t>
      </w:r>
      <w:r>
        <w:rPr>
          <w:sz w:val="24"/>
          <w:szCs w:val="24"/>
        </w:rPr>
        <w:t>A habilitação dos proponentes que irão compor o Cadastro de Reserva somente será efetuada quando houver necessidade de contratação dos proponentes remanescentes.</w:t>
      </w:r>
    </w:p>
    <w:p w14:paraId="10C2EDB2">
      <w:pPr>
        <w:autoSpaceDE w:val="0"/>
        <w:autoSpaceDN w:val="0"/>
        <w:adjustRightInd w:val="0"/>
        <w:spacing w:line="288" w:lineRule="auto"/>
        <w:contextualSpacing/>
        <w:jc w:val="both"/>
        <w:rPr>
          <w:color w:val="231F20"/>
          <w:sz w:val="24"/>
          <w:szCs w:val="24"/>
        </w:rPr>
      </w:pPr>
    </w:p>
    <w:p w14:paraId="21257F96">
      <w:pPr>
        <w:autoSpaceDE w:val="0"/>
        <w:autoSpaceDN w:val="0"/>
        <w:adjustRightInd w:val="0"/>
        <w:spacing w:line="288" w:lineRule="auto"/>
        <w:contextualSpacing/>
        <w:jc w:val="both"/>
        <w:rPr>
          <w:sz w:val="24"/>
          <w:szCs w:val="24"/>
        </w:rPr>
      </w:pPr>
      <w:r>
        <w:rPr>
          <w:color w:val="231F20"/>
          <w:sz w:val="24"/>
          <w:szCs w:val="24"/>
        </w:rPr>
        <w:t xml:space="preserve">12.5 O Cadastro de Reserva poderá ser empregado no caso do item 11.5, bem como de </w:t>
      </w:r>
      <w:r>
        <w:rPr>
          <w:sz w:val="24"/>
          <w:szCs w:val="24"/>
        </w:rPr>
        <w:t>cancelamento do registro do proponente ou dos preços, nas hipóteses previstas no § 4º do art. 28 e nos arts. 29 e 31 do Decreto nº 46/2025 e na Ata de Registro de Preços.</w:t>
      </w:r>
    </w:p>
    <w:p w14:paraId="369C60A1">
      <w:pPr>
        <w:pStyle w:val="81"/>
        <w:spacing w:before="0" w:beforeAutospacing="0" w:after="0" w:afterAutospacing="0" w:line="288" w:lineRule="auto"/>
        <w:contextualSpacing/>
        <w:jc w:val="both"/>
        <w:rPr>
          <w:rFonts w:eastAsia="Calibri"/>
          <w:lang w:eastAsia="en-US"/>
        </w:rPr>
      </w:pPr>
    </w:p>
    <w:p w14:paraId="2833D0BD">
      <w:pPr>
        <w:pStyle w:val="81"/>
        <w:spacing w:before="0" w:beforeAutospacing="0" w:after="0" w:afterAutospacing="0" w:line="288" w:lineRule="auto"/>
        <w:contextualSpacing/>
        <w:jc w:val="both"/>
        <w:rPr>
          <w:rFonts w:eastAsia="Calibri"/>
          <w:b/>
          <w:bCs/>
          <w:lang w:eastAsia="en-US"/>
        </w:rPr>
      </w:pPr>
      <w:r>
        <w:rPr>
          <w:rFonts w:eastAsia="Calibri"/>
          <w:b/>
          <w:bCs/>
          <w:lang w:eastAsia="en-US"/>
        </w:rPr>
        <w:t>13. DA FORMALIZAÇÃO DOS CONTRATOS ORIUNDOS DA ATA DE REGISTRO DE PREÇOS</w:t>
      </w:r>
    </w:p>
    <w:p w14:paraId="66DBAABD">
      <w:pPr>
        <w:pStyle w:val="81"/>
        <w:spacing w:before="0" w:beforeAutospacing="0" w:after="0" w:afterAutospacing="0" w:line="288" w:lineRule="auto"/>
        <w:contextualSpacing/>
        <w:jc w:val="both"/>
        <w:rPr>
          <w:rFonts w:eastAsia="Arial"/>
        </w:rPr>
      </w:pPr>
    </w:p>
    <w:p w14:paraId="14320AD3">
      <w:pPr>
        <w:pStyle w:val="81"/>
        <w:spacing w:before="0" w:beforeAutospacing="0" w:after="0" w:afterAutospacing="0" w:line="288" w:lineRule="auto"/>
        <w:contextualSpacing/>
        <w:jc w:val="both"/>
        <w:rPr>
          <w:rFonts w:eastAsia="Calibri"/>
          <w:lang w:eastAsia="en-US"/>
        </w:rPr>
      </w:pPr>
      <w:r>
        <w:rPr>
          <w:rFonts w:eastAsia="Arial"/>
        </w:rPr>
        <w:t xml:space="preserve">13.1 Compete ao </w:t>
      </w:r>
      <w:r>
        <w:rPr>
          <w:bCs/>
        </w:rPr>
        <w:t xml:space="preserve">gerenciador, aos </w:t>
      </w:r>
      <w:r>
        <w:rPr>
          <w:rFonts w:eastAsia="Arial"/>
          <w:bCs/>
        </w:rPr>
        <w:t xml:space="preserve">participantes, quando houver, e aos eventuais não-participantes </w:t>
      </w:r>
      <w:r>
        <w:rPr>
          <w:rFonts w:eastAsia="Arial"/>
        </w:rPr>
        <w:t>promover as ações necessárias para as suas próprias contratações com o fornecedor registrado, durante o prazo de validade da Ata de Registro de Preços.</w:t>
      </w:r>
    </w:p>
    <w:p w14:paraId="5ED60549">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13.2 A Administração convocará o fornecedor registrado para assinar o termo de contrato ou para aceitar ou retirar o instrumento equivalente, bem como para demonstrar o atendimento às exigências deste Edital e do Termo de Referência que devam ser apresentadas no momento de assinatura do contrato, </w:t>
      </w:r>
      <w:r>
        <w:rPr>
          <w:rFonts w:ascii="Times New Roman" w:hAnsi="Times New Roman" w:cs="Times New Roman"/>
          <w:color w:val="auto"/>
          <w:sz w:val="24"/>
          <w:szCs w:val="24"/>
        </w:rPr>
        <w:t>no prazo de 5 (cinco) dias úteis</w:t>
      </w:r>
      <w:r>
        <w:rPr>
          <w:rFonts w:ascii="Times New Roman" w:hAnsi="Times New Roman" w:cs="Times New Roman"/>
          <w:sz w:val="24"/>
          <w:szCs w:val="24"/>
        </w:rPr>
        <w:t>, sob pena de decair o direito à contratação, sem prejuízo das sanções previstas na Lei nº 14.133/2021, no Decreto nº 46/2025 e no Edital.</w:t>
      </w:r>
    </w:p>
    <w:p w14:paraId="5395AA0B">
      <w:pPr>
        <w:pStyle w:val="83"/>
        <w:spacing w:before="288" w:beforeLines="120" w:after="288" w:afterLines="120" w:line="288" w:lineRule="auto"/>
        <w:ind w:left="0" w:firstLine="0"/>
        <w:contextualSpacing/>
        <w:rPr>
          <w:rFonts w:ascii="Times New Roman" w:hAnsi="Times New Roman" w:cs="Times New Roman"/>
          <w:sz w:val="24"/>
          <w:szCs w:val="24"/>
        </w:rPr>
      </w:pPr>
    </w:p>
    <w:p w14:paraId="2FA950BF">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13.3 O prazo de convocação poderá ser prorrogado, 1 (uma) vez, por igual período, mediante solicitação da parte interessada durante seu transcurso, devidamente justificada, e desde que o motivo apresentado seja aceito pela Administração.</w:t>
      </w:r>
    </w:p>
    <w:p w14:paraId="0D8B86AE">
      <w:pPr>
        <w:autoSpaceDE w:val="0"/>
        <w:autoSpaceDN w:val="0"/>
        <w:adjustRightInd w:val="0"/>
        <w:spacing w:line="288" w:lineRule="auto"/>
        <w:contextualSpacing/>
        <w:jc w:val="both"/>
        <w:rPr>
          <w:color w:val="231F20"/>
          <w:sz w:val="24"/>
          <w:szCs w:val="24"/>
        </w:rPr>
      </w:pPr>
      <w:r>
        <w:rPr>
          <w:sz w:val="24"/>
          <w:szCs w:val="24"/>
        </w:rPr>
        <w:t xml:space="preserve">13.4 Na hipótese de o fornecedor registrado não assinar o contrato, ou não aceitar ou não retirar o instrumento equivalente no prazo e nas condições estabelecidas, a Administração poderá convocar os proponentes do Cadastro de Reserva, na ordem de classificação, para fazê-lo em igual prazo e nas mesmas condições propostas pelo primeiro classificado. </w:t>
      </w:r>
    </w:p>
    <w:p w14:paraId="3CBA8C24">
      <w:pPr>
        <w:pStyle w:val="83"/>
        <w:spacing w:before="288" w:beforeLines="120" w:after="288" w:afterLines="120" w:line="288" w:lineRule="auto"/>
        <w:ind w:left="0" w:firstLine="0"/>
        <w:contextualSpacing/>
        <w:rPr>
          <w:rFonts w:ascii="Times New Roman" w:hAnsi="Times New Roman" w:cs="Times New Roman"/>
          <w:sz w:val="24"/>
          <w:szCs w:val="24"/>
        </w:rPr>
      </w:pPr>
      <w:bookmarkStart w:id="32" w:name="_Hlk158798489"/>
      <w:r>
        <w:rPr>
          <w:rFonts w:ascii="Times New Roman" w:hAnsi="Times New Roman" w:cs="Times New Roman"/>
          <w:sz w:val="24"/>
          <w:szCs w:val="24"/>
        </w:rPr>
        <w:t>13.5 A recusa injustificada do fornecedor registrado em assinar o contrato ou em aceitar ou retirar o instrumento equivalente no prazo estabelecido pela Administração caracterizará o descumprimento total da obrigação assumida e o sujeitará às penalidades estabelecidas na lei e neste Edital e à imediata perda da garantia de proposta apresentada, quando existente, em favor do órgão ou entidade licitante.</w:t>
      </w:r>
    </w:p>
    <w:p w14:paraId="5B9F0D21">
      <w:pPr>
        <w:pStyle w:val="83"/>
        <w:spacing w:before="288" w:beforeLines="120" w:after="288" w:afterLines="120" w:line="288" w:lineRule="auto"/>
        <w:ind w:left="0" w:firstLine="0"/>
        <w:contextualSpacing/>
        <w:rPr>
          <w:rFonts w:ascii="Times New Roman" w:hAnsi="Times New Roman" w:cs="Times New Roman"/>
          <w:sz w:val="24"/>
          <w:szCs w:val="24"/>
        </w:rPr>
      </w:pPr>
    </w:p>
    <w:p w14:paraId="7FC792D6">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13.6 As consequências de que trata o item anterior não serão aplicadas ao integrante do Cadastro de Reserva que, quando convocado, se recusar a compor a Ata de Registro de Preços. </w:t>
      </w:r>
    </w:p>
    <w:p w14:paraId="26591281">
      <w:pPr>
        <w:pStyle w:val="83"/>
        <w:spacing w:before="288" w:beforeLines="120" w:after="288" w:afterLines="120" w:line="288" w:lineRule="auto"/>
        <w:ind w:left="0" w:firstLine="0"/>
        <w:contextualSpacing/>
        <w:rPr>
          <w:rFonts w:ascii="Times New Roman" w:hAnsi="Times New Roman" w:cs="Times New Roman"/>
          <w:sz w:val="24"/>
          <w:szCs w:val="24"/>
        </w:rPr>
      </w:pPr>
    </w:p>
    <w:p w14:paraId="4227B4F5">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13.7</w:t>
      </w:r>
      <w:r>
        <w:rPr>
          <w:rFonts w:ascii="Times New Roman" w:hAnsi="Times New Roman" w:cs="Times New Roman"/>
          <w:sz w:val="24"/>
          <w:szCs w:val="24"/>
        </w:rPr>
        <w:tab/>
      </w:r>
      <w:r>
        <w:rPr>
          <w:rFonts w:ascii="Times New Roman" w:hAnsi="Times New Roman" w:cs="Times New Roman"/>
          <w:sz w:val="24"/>
          <w:szCs w:val="24"/>
        </w:rPr>
        <w:t>No momento da assinatura do Contrato, o adjudicatário apresentará certidão de cumprimento de cota de aprendiz, expedida pelo Ministério do Trabalho e Emprego, para fins de atendimento aos arts. 429 e seguintes da Consolidação das Leis do Trabalho.</w:t>
      </w:r>
    </w:p>
    <w:p w14:paraId="0855E988">
      <w:pPr>
        <w:pStyle w:val="81"/>
        <w:spacing w:line="288" w:lineRule="auto"/>
        <w:contextualSpacing/>
        <w:jc w:val="both"/>
        <w:rPr>
          <w:rFonts w:eastAsia="Calibri"/>
          <w:lang w:eastAsia="en-US"/>
        </w:rPr>
      </w:pPr>
      <w:r>
        <w:rPr>
          <w:rFonts w:eastAsia="Calibri"/>
          <w:lang w:eastAsia="en-US"/>
        </w:rPr>
        <w:t>13.8</w:t>
      </w:r>
      <w:r>
        <w:rPr>
          <w:rFonts w:eastAsia="Calibri"/>
          <w:lang w:eastAsia="en-US"/>
        </w:rPr>
        <w:tab/>
      </w:r>
      <w:r>
        <w:rPr>
          <w:rFonts w:eastAsia="Calibri"/>
          <w:lang w:eastAsia="en-US"/>
        </w:rPr>
        <w:t>Caso o valor da contratação se enquadre no limite previsto na legislação vigente, o fornecedor registrado deverá demonstrar que mantém Programa de Integridade, consistindo tal programa no conjunto de mecanismos e procedimentos internos de integridade, auditoria e incentivo à denúncia de irregularidades e na aplicação efetiva de códigos de ética e de conduta, políticas e diretrizes com o objetivo de detectar e sanar desvios, fraudes, irregularidades e atos ilícitos praticados contra a Administração Pública.</w:t>
      </w:r>
    </w:p>
    <w:p w14:paraId="62ECC7AB">
      <w:pPr>
        <w:pStyle w:val="81"/>
        <w:spacing w:before="0" w:beforeAutospacing="0" w:after="0" w:afterAutospacing="0" w:line="288" w:lineRule="auto"/>
        <w:contextualSpacing/>
        <w:jc w:val="both"/>
        <w:rPr>
          <w:rFonts w:eastAsia="Calibri"/>
          <w:lang w:eastAsia="en-US"/>
        </w:rPr>
      </w:pPr>
    </w:p>
    <w:p w14:paraId="30B4CCFB">
      <w:pPr>
        <w:pStyle w:val="81"/>
        <w:spacing w:before="0" w:beforeAutospacing="0" w:after="0" w:afterAutospacing="0" w:line="288" w:lineRule="auto"/>
        <w:contextualSpacing/>
        <w:jc w:val="both"/>
        <w:rPr>
          <w:rFonts w:eastAsia="Calibri"/>
          <w:lang w:eastAsia="en-US"/>
        </w:rPr>
      </w:pPr>
      <w:r>
        <w:rPr>
          <w:rFonts w:eastAsia="Calibri"/>
          <w:lang w:eastAsia="en-US"/>
        </w:rPr>
        <w:t>13.8.1</w:t>
      </w:r>
      <w:r>
        <w:rPr>
          <w:rFonts w:eastAsia="Calibri"/>
          <w:lang w:eastAsia="en-US"/>
        </w:rPr>
        <w:tab/>
      </w:r>
      <w:r>
        <w:rPr>
          <w:rFonts w:eastAsia="Calibri"/>
          <w:lang w:eastAsia="en-US"/>
        </w:rPr>
        <w:t>Caso o fornecedor registrado ainda não tenha programa de integridade instituído, deverá implantar o Programa de Integridade no prazo de até 180 (cento e oitenta) dias corridos, a partir da assinatura do Contrato, na forma da legislação vigente.</w:t>
      </w:r>
    </w:p>
    <w:bookmarkEnd w:id="32"/>
    <w:p w14:paraId="5B46477B">
      <w:pPr>
        <w:pStyle w:val="81"/>
        <w:spacing w:before="0" w:beforeAutospacing="0" w:after="0" w:afterAutospacing="0" w:line="288" w:lineRule="auto"/>
        <w:contextualSpacing/>
        <w:jc w:val="both"/>
        <w:rPr>
          <w:rFonts w:eastAsia="Calibri" w:asciiTheme="minorHAnsi" w:hAnsiTheme="minorHAnsi" w:cstheme="minorHAnsi"/>
          <w:b/>
          <w:bCs/>
          <w:lang w:eastAsia="en-US"/>
        </w:rPr>
      </w:pPr>
    </w:p>
    <w:p w14:paraId="0E221A05">
      <w:pPr>
        <w:pStyle w:val="81"/>
        <w:spacing w:before="0" w:beforeAutospacing="0" w:after="0" w:afterAutospacing="0" w:line="288" w:lineRule="auto"/>
        <w:contextualSpacing/>
        <w:jc w:val="both"/>
        <w:rPr>
          <w:rFonts w:eastAsia="Calibri"/>
          <w:b/>
          <w:bCs/>
          <w:lang w:eastAsia="en-US"/>
        </w:rPr>
      </w:pPr>
      <w:r>
        <w:rPr>
          <w:rFonts w:eastAsia="Calibri"/>
          <w:b/>
          <w:bCs/>
          <w:lang w:eastAsia="en-US"/>
        </w:rPr>
        <w:t xml:space="preserve">14. DA SUBCONTRATAÇÃO </w:t>
      </w:r>
    </w:p>
    <w:p w14:paraId="4D4CEBBC">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14.1 Não será admitida a subcontratação do objeto contratual.</w:t>
      </w:r>
    </w:p>
    <w:p w14:paraId="1B7549E2">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7DA02C74">
      <w:pPr>
        <w:pStyle w:val="8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eastAsia="Calibri" w:cs="Times New Roman"/>
          <w:b/>
          <w:bCs/>
          <w:sz w:val="24"/>
          <w:szCs w:val="24"/>
          <w:lang w:eastAsia="en-US"/>
        </w:rPr>
        <w:t>15. DA GARANTIA</w:t>
      </w:r>
    </w:p>
    <w:p w14:paraId="04D657AE">
      <w:pPr>
        <w:pStyle w:val="83"/>
        <w:spacing w:before="288" w:beforeLines="120" w:after="288" w:afterLines="120" w:line="288" w:lineRule="auto"/>
        <w:ind w:left="4537" w:right="565" w:firstLine="0"/>
        <w:contextualSpacing/>
        <w:rPr>
          <w:rFonts w:ascii="Times New Roman" w:hAnsi="Times New Roman" w:cs="Times New Roman"/>
          <w:sz w:val="24"/>
          <w:szCs w:val="24"/>
        </w:rPr>
      </w:pPr>
    </w:p>
    <w:p w14:paraId="2DEE534D">
      <w:pPr>
        <w:pStyle w:val="83"/>
        <w:spacing w:before="288" w:beforeLines="120" w:after="288" w:afterLines="120" w:line="288" w:lineRule="auto"/>
        <w:ind w:left="0"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 Haverá exigência de garantia contratual da execução.</w:t>
      </w:r>
    </w:p>
    <w:p w14:paraId="293EA79B">
      <w:pPr>
        <w:pStyle w:val="86"/>
        <w:spacing w:before="288" w:beforeLines="120" w:after="288" w:afterLines="120" w:line="288" w:lineRule="auto"/>
        <w:ind w:left="567" w:right="565" w:firstLine="0"/>
        <w:contextualSpacing/>
        <w:rPr>
          <w:rFonts w:ascii="Times New Roman" w:hAnsi="Times New Roman" w:cs="Times New Roman"/>
          <w:color w:val="auto"/>
          <w:sz w:val="24"/>
          <w:szCs w:val="24"/>
        </w:rPr>
      </w:pPr>
      <w:bookmarkStart w:id="33" w:name="_Hlk152767454"/>
      <w:r>
        <w:rPr>
          <w:rFonts w:ascii="Times New Roman" w:hAnsi="Times New Roman" w:cs="Times New Roman"/>
          <w:color w:val="auto"/>
          <w:sz w:val="24"/>
          <w:szCs w:val="24"/>
        </w:rPr>
        <w:t>15.1.1 Caso o prazo de vigência do contrato seja inferior a um ano</w:t>
      </w:r>
      <w:bookmarkEnd w:id="33"/>
      <w:r>
        <w:rPr>
          <w:rFonts w:ascii="Times New Roman" w:hAnsi="Times New Roman" w:cs="Times New Roman"/>
          <w:color w:val="auto"/>
          <w:sz w:val="24"/>
          <w:szCs w:val="24"/>
        </w:rPr>
        <w:t xml:space="preserve">, a garantia prevista no item 15.1 será calculada sobre o valor total do Contrato. </w:t>
      </w:r>
    </w:p>
    <w:p w14:paraId="5C87E5EE">
      <w:pPr>
        <w:pStyle w:val="86"/>
        <w:spacing w:before="288" w:beforeLines="120" w:after="288" w:afterLines="120" w:line="288" w:lineRule="auto"/>
        <w:ind w:left="567" w:right="567"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15.1.2 Na forma do art. 101 da Lei nº 14.133/2021, nos casos de contratos que impliquem a entrega de bens pela Administração, dos quais o contratado ficará depositário, o valor desses bens deverá ser acrescido ao valor da garantia.</w:t>
      </w:r>
    </w:p>
    <w:p w14:paraId="0E378B44">
      <w:pPr>
        <w:pStyle w:val="86"/>
        <w:spacing w:before="288" w:beforeLines="120" w:after="288" w:afterLines="120" w:line="288" w:lineRule="auto"/>
        <w:ind w:left="567" w:right="567"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15.2 O contratado poderá optar pelas seguintes modalidades de garantia:</w:t>
      </w:r>
    </w:p>
    <w:p w14:paraId="03E661C2">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15.2.1 caução em dinheiro ou em títulos da dívida pública;</w:t>
      </w:r>
    </w:p>
    <w:p w14:paraId="38410FD7">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15.2.2 seguro-garantia; </w:t>
      </w:r>
    </w:p>
    <w:p w14:paraId="33098612">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15.2.3 fiança bancária; e</w:t>
      </w:r>
    </w:p>
    <w:p w14:paraId="0F6927A6">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15.2.4 título de capitalização custeado por pagamento único, com resgate pelo valor total.</w:t>
      </w:r>
    </w:p>
    <w:p w14:paraId="5022CD3E">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15.3 Qualquer que seja a modalidade escolhida pelo contratado, a garantia assegurará o pagamento de:</w:t>
      </w:r>
    </w:p>
    <w:p w14:paraId="6228975E">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15.3.1 prejuízos advindos do não cumprimento do objeto do Contrato e do não adimplemento das demais obrigações neste previstas;</w:t>
      </w:r>
    </w:p>
    <w:p w14:paraId="4A43D4CE">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15.3.2 multas moratórias, compensatórias e administrativas aplicadas pela Administração ao contratado; e</w:t>
      </w:r>
    </w:p>
    <w:p w14:paraId="2747ACA4">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15.3.3 obrigações trabalhistas e previdenciárias de qualquer natureza, assim como as obrigações de regularidade perante o FGTS, não adimplidas pelo contratado, quando couber.</w:t>
      </w:r>
    </w:p>
    <w:p w14:paraId="03B6E633">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15.4 A garantia, qualquer que seja a modalidade escolhida, terá validade durante a vigência do Contrato e por mais 90 (noventa) dias após o término deste prazo de vigência.  </w:t>
      </w:r>
    </w:p>
    <w:p w14:paraId="1AA9E51B">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15.5 Na hipótese de suspensão do Contrato por ordem ou inadimplemento da Administração, o contratado ficará desobrigado de renovar a garantia ou de endossar a apólice de seguro até a ordem de reinício da execução ou o adimplemento pela Administração.</w:t>
      </w:r>
    </w:p>
    <w:p w14:paraId="02C70797">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15.6 Ressalvada a hipótese de seguro-garantia, em que deverá ser observado o prazo do item 15.7, o contratado apresentará, no prazo máximo de 10 (dez) dias úteis, prorrogáveis por igual período, a critério do contratante, contado da assinatura do Contrato, o comprovante de prestação de garantia, na forma do item 15.2.</w:t>
      </w:r>
    </w:p>
    <w:p w14:paraId="287AE9F9">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 Caso oferecida a modalidade de seguro-garantia, sua apresentação deve ocorrer em 1 (um) mês, contado da data de homologação da licitação e anterior à assinatura do Contrato, e observar-se-ão as seguintes condições:</w:t>
      </w:r>
    </w:p>
    <w:p w14:paraId="0E6EBF31">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15.7.1 a apólice permanecerá em vigor mesmo que o contratado não pague o prêmio nas datas convencionadas;</w:t>
      </w:r>
    </w:p>
    <w:p w14:paraId="49A97B17">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15.7.2 a apólice deverá acompanhar as modificações referentes à vigência do Contrato principal, mediante a emissão do respectivo endosso pela seguradora;</w:t>
      </w:r>
    </w:p>
    <w:p w14:paraId="05E3F55B">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15.7.3 será permitida a substituição da apólice na data de renovação ou de aniversário, desde que mantidas as condições e coberturas da apólice vigente e nenhum período fique descoberto, ressalvado o disposto no item 15.5 deste Edital; e</w:t>
      </w:r>
    </w:p>
    <w:p w14:paraId="154848ED">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15.7.4 a apólice somente será aceita se contemplar todos os eventos indicados no item 15.3, observada a legislação que rege a matéria.</w:t>
      </w:r>
    </w:p>
    <w:p w14:paraId="53C3E1BC">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15.8 Em caso de oferecimento de títulos da dívida pública, estes devem ser emitidos sob a forma escritural, mediante registro em sistema centralizado de liquidação e de custódia autorizado pelo Banco Central do Brasil, e avaliados pelos seus valores econômicos, conforme definido pelo Ministério da Fazenda.</w:t>
      </w:r>
    </w:p>
    <w:p w14:paraId="1CB7D7AB">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15.9 Caso a opção seja por fiança bancária, esta deverá ser emitida por banco ou instituição financeira devidamente autorizada a operar no País pelo Banco Central do Brasil, e deverá constar expressa renúncia do fiador aos benefícios do art. 827 do Código Civil.</w:t>
      </w:r>
    </w:p>
    <w:p w14:paraId="53D983F3">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15.10 Caso a opção seja por garantia em dinheiro, deverá ser efetuada em favor do contratante, na conta corrente nº ......., da agência ....... da instituição financeira contratada pelo Município, cujo valor será corrigido monetariamente e restituído ao contratado, na forma do item 15.16.</w:t>
      </w:r>
    </w:p>
    <w:p w14:paraId="5AA7F065">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15.11 O contratado obriga-se a fazer a reposição, a suplementação ou a renovação da garantia, no prazo máximo de 10 (dez) dias úteis, contados da data em que for notificado, no caso desta ser executada, total ou parcialmente, ou o Contrato for prorrogado ou tiver o seu valor alterado, assim como em qualquer outra situação que exija a manutenção da condição disposta no item 15.1 neste item. </w:t>
      </w:r>
    </w:p>
    <w:p w14:paraId="77BE3AD7">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15.12 A inobservância do prazo fixado para apresentação, reposição, suplementação ou renovação da garantia acarretará a aplicação de multa e/ou outras penalidades, na forma disposta no Contrato.</w:t>
      </w:r>
    </w:p>
    <w:p w14:paraId="57E43660">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15.12.1 O atraso superior a 25 (vinte e cinco) dias autoriza o contratante a promover a rescisão do contrato por descumprimento ou cumprimento irregular de suas cláusulas, com a aplicação das sanções cabíveis.</w:t>
      </w:r>
    </w:p>
    <w:p w14:paraId="6906ECD8">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15.13 O contratante executará a garantia na forma prevista na legislação que rege a matéria.</w:t>
      </w:r>
    </w:p>
    <w:p w14:paraId="49B910DB">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15.14 O emitente da garantia ofertada pelo contratado deverá ser notificado pelo contratante quanto ao início de processo administrativo para apuração de descumprimento de cláusulas contratuais.</w:t>
      </w:r>
    </w:p>
    <w:p w14:paraId="5BC87B19">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15.14.1 O garantidor não é parte para figurar em processo administrativo instaurado pelo contratante com o objetivo de apurar prejuízos e/ou aplicar sanções ao contratado.</w:t>
      </w:r>
    </w:p>
    <w:p w14:paraId="35274A3F">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15.15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2022.</w:t>
      </w:r>
    </w:p>
    <w:p w14:paraId="3F581666">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15.16 Extinguir-se-á a garantia com a restituição da apólice, carta fiança, título da dívida pública ou autorização para a liberação da caução em dinheiro, atualizada monetariamente, acompanhada de declaração do contratante, mediante termo circunstanciado, de que o contratado cumpriu todas as cláusulas do Contrato.</w:t>
      </w:r>
    </w:p>
    <w:p w14:paraId="316013C8">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15.16.1 A garantia somente será liberada ou restituída, após a fiel execução do Contrato ou pela sua extinção, por culpa exclusiva da Administração, ou quando assim convencionado, em se tratando de extinção consensual da contratação.</w:t>
      </w:r>
    </w:p>
    <w:p w14:paraId="4DE3B97F">
      <w:pPr>
        <w:pStyle w:val="83"/>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15.17 O contratado autoriza o contratante a reter, a qualquer tempo, a garantia, na forma prevista no Edital e no Contrato. </w:t>
      </w:r>
    </w:p>
    <w:p w14:paraId="34500ECF">
      <w:pPr>
        <w:pStyle w:val="81"/>
        <w:spacing w:before="0" w:beforeAutospacing="0" w:after="0" w:afterAutospacing="0" w:line="288" w:lineRule="auto"/>
        <w:contextualSpacing/>
        <w:jc w:val="both"/>
        <w:rPr>
          <w:rFonts w:eastAsia="Calibri" w:asciiTheme="minorHAnsi" w:hAnsiTheme="minorHAnsi" w:cstheme="minorHAnsi"/>
          <w:b/>
          <w:bCs/>
          <w:lang w:eastAsia="en-US"/>
        </w:rPr>
      </w:pPr>
    </w:p>
    <w:p w14:paraId="7E54F496">
      <w:pPr>
        <w:pStyle w:val="81"/>
        <w:spacing w:before="0" w:beforeAutospacing="0" w:after="0" w:afterAutospacing="0" w:line="288" w:lineRule="auto"/>
        <w:contextualSpacing/>
        <w:jc w:val="both"/>
        <w:rPr>
          <w:rFonts w:eastAsia="Calibri"/>
          <w:b/>
          <w:bCs/>
          <w:lang w:eastAsia="en-US"/>
        </w:rPr>
      </w:pPr>
      <w:r>
        <w:rPr>
          <w:rFonts w:eastAsia="Calibri"/>
          <w:b/>
          <w:bCs/>
          <w:lang w:eastAsia="en-US"/>
        </w:rPr>
        <w:t>16. PAGAMENTO</w:t>
      </w:r>
    </w:p>
    <w:p w14:paraId="1C381315">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16.1 O contratante deverá pagar o preço ao contratado em 01 (uma) parcelas</w:t>
      </w:r>
      <w:r>
        <w:rPr>
          <w:rFonts w:ascii="Times New Roman" w:hAnsi="Times New Roman" w:cs="Times New Roman"/>
          <w:color w:val="auto"/>
          <w:sz w:val="24"/>
          <w:szCs w:val="24"/>
        </w:rPr>
        <w:t>,</w:t>
      </w:r>
      <w:r>
        <w:rPr>
          <w:rFonts w:ascii="Times New Roman" w:hAnsi="Times New Roman" w:cs="Times New Roman"/>
          <w:color w:val="FF0000"/>
          <w:sz w:val="24"/>
          <w:szCs w:val="24"/>
        </w:rPr>
        <w:t xml:space="preserve"> </w:t>
      </w:r>
      <w:r>
        <w:rPr>
          <w:rFonts w:ascii="Times New Roman" w:hAnsi="Times New Roman" w:cs="Times New Roman"/>
          <w:sz w:val="24"/>
          <w:szCs w:val="24"/>
        </w:rPr>
        <w:t xml:space="preserve">na conta corrente de titularidade do contratado a ser indicada. </w:t>
      </w:r>
    </w:p>
    <w:p w14:paraId="02E54F86">
      <w:pPr>
        <w:pStyle w:val="83"/>
        <w:spacing w:before="288" w:beforeLines="120" w:after="288" w:afterLines="120" w:line="288" w:lineRule="auto"/>
        <w:ind w:left="0" w:firstLine="0"/>
        <w:contextualSpacing/>
        <w:rPr>
          <w:rFonts w:ascii="Times New Roman" w:hAnsi="Times New Roman" w:cs="Times New Roman"/>
          <w:sz w:val="24"/>
          <w:szCs w:val="24"/>
        </w:rPr>
      </w:pPr>
    </w:p>
    <w:p w14:paraId="5439C47A">
      <w:pPr>
        <w:pStyle w:val="83"/>
        <w:spacing w:before="288" w:beforeLines="120" w:after="288" w:afterLines="120" w:line="288" w:lineRule="auto"/>
        <w:ind w:left="0" w:firstLine="0"/>
        <w:contextualSpacing/>
        <w:rPr>
          <w:rFonts w:ascii="Times New Roman" w:hAnsi="Times New Roman" w:cs="Times New Roman"/>
          <w:color w:val="FF0000"/>
          <w:sz w:val="24"/>
          <w:szCs w:val="24"/>
        </w:rPr>
      </w:pPr>
      <w:r>
        <w:rPr>
          <w:rFonts w:ascii="Times New Roman" w:hAnsi="Times New Roman" w:cs="Times New Roman"/>
          <w:sz w:val="24"/>
          <w:szCs w:val="24"/>
        </w:rPr>
        <w:t xml:space="preserve">16.2 Os pagamentos relativos à aquisição de bens e à contratação de serviços de qualquer natureza realizados pelos órgãos e entidades da Administração Pública Municipal Direta, Autárquica e Fundacional do Poder Executivo serão efetuados exclusivamente, por meio da Instituição financeira contratada pelo município atualmente </w:t>
      </w:r>
      <w:r>
        <w:rPr>
          <w:rFonts w:ascii="Times New Roman" w:hAnsi="Times New Roman" w:cs="Times New Roman"/>
          <w:b/>
          <w:sz w:val="24"/>
          <w:szCs w:val="24"/>
        </w:rPr>
        <w:t>Banco Itaú S.A</w:t>
      </w:r>
      <w:r>
        <w:rPr>
          <w:rFonts w:ascii="Times New Roman" w:hAnsi="Times New Roman" w:cs="Times New Roman"/>
          <w:sz w:val="24"/>
          <w:szCs w:val="24"/>
        </w:rPr>
        <w:t>, cujo número e agência deverão ser informados pelo adjudicatário.</w:t>
      </w:r>
    </w:p>
    <w:p w14:paraId="60C255A5">
      <w:pPr>
        <w:pStyle w:val="83"/>
        <w:spacing w:before="288" w:beforeLines="120" w:after="288" w:afterLines="120" w:line="288" w:lineRule="auto"/>
        <w:ind w:left="0" w:firstLine="0"/>
        <w:contextualSpacing/>
        <w:rPr>
          <w:rFonts w:ascii="Times New Roman" w:hAnsi="Times New Roman" w:cs="Times New Roman"/>
          <w:sz w:val="24"/>
          <w:szCs w:val="24"/>
        </w:rPr>
      </w:pPr>
    </w:p>
    <w:p w14:paraId="1A5C95D4">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16.3 A emissão da Nota Fiscal ou Fatura será precedida do recebimento definitivo do objeto ou de cada parcela, mediante atestação, que não poderá ser realizada pelo ordenador de despesas, conforme disposto neste instrumento e/ou no Termo de Referência, bem ainda no art. 140, II, alínea “b”, da Lei nº 14.133/2021 e arts. 20 e 22, XXIII, do Decreto nº 40, de 25 de fevereiro de 2025.</w:t>
      </w:r>
    </w:p>
    <w:p w14:paraId="6CEC954B">
      <w:pPr>
        <w:pStyle w:val="85"/>
        <w:spacing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16.3.1 Quando houver glosa parcial do objeto, o contratante deverá comunicar ao contratado para que emita Nota Fiscal ou Fatura com o valor exato dimensionado.</w:t>
      </w:r>
    </w:p>
    <w:p w14:paraId="4B284FB0">
      <w:pPr>
        <w:pStyle w:val="83"/>
        <w:spacing w:before="288" w:beforeLines="120" w:after="288" w:afterLines="120" w:line="288" w:lineRule="auto"/>
        <w:ind w:left="0" w:firstLine="0"/>
        <w:contextualSpacing/>
        <w:rPr>
          <w:rFonts w:ascii="Times New Roman" w:hAnsi="Times New Roman" w:cs="Times New Roman"/>
          <w:b/>
          <w:bCs/>
          <w:i/>
          <w:iCs/>
          <w:color w:val="558ED5" w:themeColor="text2" w:themeTint="99"/>
          <w:sz w:val="24"/>
          <w:szCs w:val="24"/>
          <w:u w:val="single"/>
          <w14:textFill>
            <w14:solidFill>
              <w14:schemeClr w14:val="tx2">
                <w14:lumMod w14:val="60000"/>
                <w14:lumOff w14:val="40000"/>
              </w14:schemeClr>
            </w14:solidFill>
          </w14:textFill>
        </w:rPr>
      </w:pPr>
      <w:r>
        <w:rPr>
          <w:rFonts w:ascii="Times New Roman" w:hAnsi="Times New Roman" w:cs="Times New Roman"/>
          <w:sz w:val="24"/>
          <w:szCs w:val="24"/>
        </w:rPr>
        <w:t xml:space="preserve">16.4 O contratado deverá encaminhar a Nota Fiscal ou Fatura para pagamento à Prefeitura Municipal de Valença, Secretaria Municipal de Assistência, Esporte e Envelhecimento saudável, situada na Rua Comendador Araújo Leite, nº 373, na cidade do Valença, no Estado do Rio de Janeiro ou para o endereço eletrônico </w:t>
      </w:r>
      <w:r>
        <w:rPr>
          <w:rFonts w:ascii="Times New Roman" w:hAnsi="Times New Roman" w:cs="Times New Roman"/>
          <w:b/>
          <w:bCs/>
          <w:i/>
          <w:iCs/>
          <w:color w:val="558ED5" w:themeColor="text2" w:themeTint="99"/>
          <w:sz w:val="24"/>
          <w:szCs w:val="24"/>
          <w:u w:val="single"/>
          <w14:textFill>
            <w14:solidFill>
              <w14:schemeClr w14:val="tx2">
                <w14:lumMod w14:val="60000"/>
                <w14:lumOff w14:val="40000"/>
              </w14:schemeClr>
            </w14:solidFill>
          </w14:textFill>
        </w:rPr>
        <w:t>smaees@valenca.rj.gov.br</w:t>
      </w:r>
    </w:p>
    <w:p w14:paraId="6485ED13">
      <w:pPr>
        <w:pStyle w:val="83"/>
        <w:spacing w:line="288" w:lineRule="auto"/>
        <w:ind w:left="0" w:firstLine="0"/>
        <w:contextualSpacing/>
        <w:rPr>
          <w:rFonts w:ascii="Times New Roman" w:hAnsi="Times New Roman" w:cs="Times New Roman"/>
          <w:sz w:val="24"/>
          <w:szCs w:val="24"/>
        </w:rPr>
      </w:pPr>
    </w:p>
    <w:p w14:paraId="00E4DF74">
      <w:pPr>
        <w:pStyle w:val="83"/>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16.5 </w:t>
      </w:r>
      <w:bookmarkStart w:id="34" w:name="_Hlk178774483"/>
      <w:r>
        <w:rPr>
          <w:rFonts w:ascii="Times New Roman" w:hAnsi="Times New Roman" w:cs="Times New Roman"/>
          <w:sz w:val="24"/>
          <w:szCs w:val="24"/>
        </w:rPr>
        <w:t xml:space="preserve">Uma vez recebidos os documentos mencionados no item 16.4, o órgão competente deverá verificar: </w:t>
      </w:r>
      <w:bookmarkEnd w:id="34"/>
    </w:p>
    <w:p w14:paraId="675D07AE">
      <w:pPr>
        <w:pStyle w:val="83"/>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 </w:t>
      </w:r>
    </w:p>
    <w:p w14:paraId="76FC944C">
      <w:pPr>
        <w:pStyle w:val="83"/>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a) a manutenção das condições de habilitação exigidas pelo instrumento convocatório; </w:t>
      </w:r>
    </w:p>
    <w:p w14:paraId="52D2171A">
      <w:pPr>
        <w:pStyle w:val="83"/>
        <w:spacing w:line="288" w:lineRule="auto"/>
        <w:ind w:left="0" w:firstLine="0"/>
        <w:contextualSpacing/>
        <w:rPr>
          <w:rFonts w:ascii="Times New Roman" w:hAnsi="Times New Roman" w:cs="Times New Roman"/>
          <w:sz w:val="24"/>
          <w:szCs w:val="24"/>
        </w:rPr>
      </w:pPr>
    </w:p>
    <w:p w14:paraId="60CD2513">
      <w:pPr>
        <w:pStyle w:val="83"/>
        <w:spacing w:line="288" w:lineRule="auto"/>
        <w:ind w:left="0" w:firstLine="0"/>
        <w:contextualSpacing/>
        <w:rPr>
          <w:rFonts w:ascii="Times New Roman" w:hAnsi="Times New Roman" w:cs="Times New Roman"/>
          <w:sz w:val="24"/>
          <w:szCs w:val="24"/>
        </w:rPr>
      </w:pPr>
      <w:bookmarkStart w:id="35" w:name="_Hlk178774506"/>
      <w:r>
        <w:rPr>
          <w:rFonts w:ascii="Times New Roman" w:hAnsi="Times New Roman" w:cs="Times New Roman"/>
          <w:sz w:val="24"/>
          <w:szCs w:val="24"/>
        </w:rPr>
        <w:t>b) por consulta aos cadastros mencionados no item 8.1, se o contratado foi penalizado com as sanções de declaração de inidoneidade ou impedimento de licitar e contratar com o poder público, observadas as abrangências de aplicação; e</w:t>
      </w:r>
    </w:p>
    <w:p w14:paraId="39142192">
      <w:pPr>
        <w:pStyle w:val="83"/>
        <w:spacing w:line="288" w:lineRule="auto"/>
        <w:ind w:left="0" w:firstLine="0"/>
        <w:contextualSpacing/>
        <w:rPr>
          <w:rFonts w:ascii="Times New Roman" w:hAnsi="Times New Roman" w:cs="Times New Roman"/>
          <w:sz w:val="24"/>
          <w:szCs w:val="24"/>
        </w:rPr>
      </w:pPr>
    </w:p>
    <w:p w14:paraId="5458A572">
      <w:pPr>
        <w:pStyle w:val="83"/>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 por consulta ao SICAF, eventuais ocorrências impeditivas indiretas, hipótese na qual o gestor deverá verificar se houve fraude por parte das empresas apontadas no Relatório de Ocorrências Impeditivas Indiretas.</w:t>
      </w:r>
    </w:p>
    <w:bookmarkEnd w:id="35"/>
    <w:p w14:paraId="67CFE439">
      <w:pPr>
        <w:pStyle w:val="83"/>
        <w:spacing w:line="288" w:lineRule="auto"/>
        <w:ind w:left="0" w:firstLine="0"/>
        <w:contextualSpacing/>
        <w:rPr>
          <w:rFonts w:ascii="Times New Roman" w:hAnsi="Times New Roman" w:cs="Times New Roman"/>
          <w:sz w:val="24"/>
          <w:szCs w:val="24"/>
        </w:rPr>
      </w:pPr>
    </w:p>
    <w:p w14:paraId="2D73486F">
      <w:pPr>
        <w:pStyle w:val="83"/>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16.5.1 Constatando-se a situação de irregularidade do contratado, será providenciada sua notificação, por escrito, para que, no prazo de 15 (quinze) dias úteis, regularize sua situação ou, no mesmo prazo, apresente sua defesa e especifique provas que pretende produzir. O prazo poderá ser prorrogado uma vez, por igual período, a critério do contratante.</w:t>
      </w:r>
    </w:p>
    <w:p w14:paraId="3AAE891D">
      <w:pPr>
        <w:pStyle w:val="83"/>
        <w:spacing w:line="288" w:lineRule="auto"/>
        <w:ind w:left="0" w:firstLine="0"/>
        <w:contextualSpacing/>
        <w:rPr>
          <w:rFonts w:ascii="Times New Roman" w:hAnsi="Times New Roman" w:cs="Times New Roman"/>
          <w:sz w:val="24"/>
          <w:szCs w:val="24"/>
        </w:rPr>
      </w:pPr>
    </w:p>
    <w:p w14:paraId="54CEFF9E">
      <w:pPr>
        <w:pStyle w:val="83"/>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16.5.2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24312153">
      <w:pPr>
        <w:pStyle w:val="83"/>
        <w:spacing w:line="288" w:lineRule="auto"/>
        <w:ind w:left="0" w:firstLine="0"/>
        <w:contextualSpacing/>
        <w:rPr>
          <w:rFonts w:ascii="Times New Roman" w:hAnsi="Times New Roman" w:cs="Times New Roman"/>
          <w:sz w:val="24"/>
          <w:szCs w:val="24"/>
        </w:rPr>
      </w:pPr>
    </w:p>
    <w:p w14:paraId="0BD8273A">
      <w:pPr>
        <w:pStyle w:val="83"/>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16.5.3 Persistindo a irregularidade, o contratante deverá adotar as medidas necessárias à rescisão do Contrato nos autos do processo administrativo correspondente, assegurada ao contratado a ampla defesa.</w:t>
      </w:r>
    </w:p>
    <w:p w14:paraId="7E6586C7">
      <w:pPr>
        <w:pStyle w:val="83"/>
        <w:spacing w:line="288" w:lineRule="auto"/>
        <w:ind w:left="0" w:firstLine="0"/>
        <w:contextualSpacing/>
        <w:rPr>
          <w:rFonts w:ascii="Times New Roman" w:hAnsi="Times New Roman" w:cs="Times New Roman"/>
          <w:sz w:val="24"/>
          <w:szCs w:val="24"/>
        </w:rPr>
      </w:pPr>
    </w:p>
    <w:p w14:paraId="17F06EAA">
      <w:pPr>
        <w:pStyle w:val="83"/>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16.5.4 Havendo a efetiva execução do objeto, os pagamentos serão realizados normalmente, até que se decida pela rescisão do Contrato, caso o contratado não regularize sua situação.</w:t>
      </w:r>
    </w:p>
    <w:p w14:paraId="7DD238A9">
      <w:pPr>
        <w:pStyle w:val="83"/>
        <w:spacing w:line="288" w:lineRule="auto"/>
        <w:ind w:left="0" w:firstLine="0"/>
        <w:contextualSpacing/>
        <w:rPr>
          <w:rFonts w:ascii="Times New Roman" w:hAnsi="Times New Roman" w:cs="Times New Roman"/>
          <w:sz w:val="24"/>
          <w:szCs w:val="24"/>
        </w:rPr>
      </w:pPr>
    </w:p>
    <w:p w14:paraId="04D4A17C">
      <w:pPr>
        <w:pStyle w:val="83"/>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16.6 O pagamento será efetuado no prazo máximo de até </w:t>
      </w:r>
      <w:r>
        <w:rPr>
          <w:rFonts w:ascii="Times New Roman" w:hAnsi="Times New Roman" w:cs="Times New Roman"/>
          <w:color w:val="000000" w:themeColor="text1"/>
          <w:sz w:val="24"/>
          <w:szCs w:val="24"/>
          <w14:textFill>
            <w14:solidFill>
              <w14:schemeClr w14:val="tx1"/>
            </w14:solidFill>
          </w14:textFill>
        </w:rPr>
        <w:t>30 (trinta) dias</w:t>
      </w:r>
      <w:r>
        <w:rPr>
          <w:rFonts w:ascii="Times New Roman" w:hAnsi="Times New Roman" w:cs="Times New Roman"/>
          <w:sz w:val="24"/>
          <w:szCs w:val="24"/>
        </w:rPr>
        <w:t xml:space="preserve">, contados do recebimento da Nota Fiscal ou Fatura. </w:t>
      </w:r>
    </w:p>
    <w:p w14:paraId="3BD32289">
      <w:pPr>
        <w:pStyle w:val="83"/>
        <w:spacing w:line="288" w:lineRule="auto"/>
        <w:ind w:left="0" w:firstLine="0"/>
        <w:contextualSpacing/>
        <w:rPr>
          <w:rFonts w:ascii="Times New Roman" w:hAnsi="Times New Roman" w:cs="Times New Roman"/>
          <w:sz w:val="24"/>
          <w:szCs w:val="24"/>
        </w:rPr>
      </w:pPr>
    </w:p>
    <w:p w14:paraId="2DE0C49A">
      <w:pPr>
        <w:pStyle w:val="83"/>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16.6.1 Havendo erro na apresentação da Nota Fiscal ou Fatura, ou circunstância que impeça a liquidação da despesa, o pagamento ficará sobrestado até que o contratado providencie as medidas saneadoras. Nessa hipótese, o prazo para pagamento iniciar-se-á após a comprovação da regularização da situação, não acarretando qualquer ônus para o contratante.</w:t>
      </w:r>
    </w:p>
    <w:p w14:paraId="22E311D4">
      <w:pPr>
        <w:pStyle w:val="83"/>
        <w:spacing w:line="288" w:lineRule="auto"/>
        <w:ind w:left="0" w:firstLine="0"/>
        <w:contextualSpacing/>
        <w:rPr>
          <w:rFonts w:ascii="Times New Roman" w:hAnsi="Times New Roman" w:cs="Times New Roman"/>
          <w:sz w:val="24"/>
          <w:szCs w:val="24"/>
        </w:rPr>
      </w:pPr>
    </w:p>
    <w:p w14:paraId="7C2FA93C">
      <w:pPr>
        <w:pStyle w:val="83"/>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16.7 Quando do pagamento, será efetuada a retenção tributária prevista na legislação aplicável.</w:t>
      </w:r>
    </w:p>
    <w:p w14:paraId="4B7C5DFB">
      <w:pPr>
        <w:pStyle w:val="83"/>
        <w:spacing w:line="288" w:lineRule="auto"/>
        <w:ind w:left="0" w:firstLine="0"/>
        <w:contextualSpacing/>
        <w:rPr>
          <w:rFonts w:ascii="Times New Roman" w:hAnsi="Times New Roman" w:cs="Times New Roman"/>
          <w:sz w:val="24"/>
          <w:szCs w:val="24"/>
        </w:rPr>
      </w:pPr>
    </w:p>
    <w:p w14:paraId="7D2E3155">
      <w:pPr>
        <w:pStyle w:val="83"/>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16.7.1 Independentemente do percentual de tributo inserido na planilha, no pagamento serão retidos na fonte os percentuais estabelecidos na legislação vigente.</w:t>
      </w:r>
    </w:p>
    <w:p w14:paraId="70279132">
      <w:pPr>
        <w:pStyle w:val="83"/>
        <w:spacing w:line="288" w:lineRule="auto"/>
        <w:ind w:left="0" w:firstLine="0"/>
        <w:contextualSpacing/>
        <w:rPr>
          <w:rFonts w:ascii="Times New Roman" w:hAnsi="Times New Roman" w:cs="Times New Roman"/>
          <w:sz w:val="24"/>
          <w:szCs w:val="24"/>
        </w:rPr>
      </w:pPr>
    </w:p>
    <w:p w14:paraId="38FA2D2A">
      <w:pPr>
        <w:pStyle w:val="83"/>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16.7.2 O contratado regularmente optante pelo Simples Nacional, nos termos da Lei Complementar nº 123/2006,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nº 123/2006.</w:t>
      </w:r>
    </w:p>
    <w:p w14:paraId="70A383CA">
      <w:pPr>
        <w:pStyle w:val="83"/>
        <w:spacing w:line="288" w:lineRule="auto"/>
        <w:ind w:left="0" w:firstLine="0"/>
        <w:contextualSpacing/>
        <w:rPr>
          <w:rFonts w:ascii="Times New Roman" w:hAnsi="Times New Roman" w:cs="Times New Roman"/>
          <w:sz w:val="24"/>
          <w:szCs w:val="24"/>
        </w:rPr>
      </w:pPr>
    </w:p>
    <w:p w14:paraId="4C03CCED">
      <w:pPr>
        <w:pStyle w:val="83"/>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16.8 Os pagamentos eventualmente realizados com atraso, desde que não decorram de ato ou fato atribuível ao contratado, sofrerão a incidência de atualização monetária e juros de mora pelo </w:t>
      </w:r>
      <w:r>
        <w:rPr>
          <w:rFonts w:ascii="Times New Roman" w:hAnsi="Times New Roman" w:cs="Times New Roman"/>
          <w:bCs/>
          <w:color w:val="auto"/>
          <w:sz w:val="24"/>
          <w:szCs w:val="24"/>
        </w:rPr>
        <w:t>IPCA-E</w:t>
      </w:r>
      <w:r>
        <w:rPr>
          <w:rFonts w:ascii="Times New Roman" w:hAnsi="Times New Roman" w:cs="Times New Roman"/>
          <w:sz w:val="24"/>
          <w:szCs w:val="24"/>
        </w:rPr>
        <w:t xml:space="preserve">, calculado </w:t>
      </w:r>
      <w:r>
        <w:rPr>
          <w:rFonts w:ascii="Times New Roman" w:hAnsi="Times New Roman" w:cs="Times New Roman"/>
          <w:i/>
          <w:sz w:val="24"/>
          <w:szCs w:val="24"/>
        </w:rPr>
        <w:t>pro rata die</w:t>
      </w:r>
      <w:r>
        <w:rPr>
          <w:rFonts w:ascii="Times New Roman" w:hAnsi="Times New Roman" w:cs="Times New Roman"/>
          <w:sz w:val="24"/>
          <w:szCs w:val="24"/>
        </w:rPr>
        <w:t xml:space="preserve">, e aqueles pagos em prazo inferior ao estabelecido no instrumento convocatório serão feitos mediante desconto de 0,5% (um meio por cento) ao mês, calculado </w:t>
      </w:r>
      <w:r>
        <w:rPr>
          <w:rFonts w:ascii="Times New Roman" w:hAnsi="Times New Roman" w:cs="Times New Roman"/>
          <w:i/>
          <w:sz w:val="24"/>
          <w:szCs w:val="24"/>
        </w:rPr>
        <w:t>pro rata die.</w:t>
      </w:r>
    </w:p>
    <w:p w14:paraId="4BBA91A5">
      <w:pPr>
        <w:pStyle w:val="83"/>
        <w:spacing w:line="288" w:lineRule="auto"/>
        <w:ind w:left="0" w:firstLine="0"/>
        <w:contextualSpacing/>
        <w:rPr>
          <w:rFonts w:ascii="Times New Roman" w:hAnsi="Times New Roman" w:cs="Times New Roman"/>
          <w:sz w:val="24"/>
          <w:szCs w:val="24"/>
        </w:rPr>
      </w:pPr>
    </w:p>
    <w:p w14:paraId="48448B72">
      <w:pPr>
        <w:pStyle w:val="83"/>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16.9 O contratado deverá emitir a Nota Fiscal Eletrônica – NF-e, consoante o Protocolo ICMS nº 42/2009, com a redação conferida pelo Protocolo ICMS nº 85/2010, e caso seu estabelecimento esteja localizado no Estado do Rio de Janeiro, deverá observar a forma prescrita nas alíneas </w:t>
      </w:r>
      <w:r>
        <w:rPr>
          <w:rFonts w:ascii="Times New Roman" w:hAnsi="Times New Roman" w:cs="Times New Roman"/>
          <w:i/>
          <w:sz w:val="24"/>
          <w:szCs w:val="24"/>
        </w:rPr>
        <w:t xml:space="preserve">a, b, c, d </w:t>
      </w:r>
      <w:r>
        <w:rPr>
          <w:rFonts w:ascii="Times New Roman" w:hAnsi="Times New Roman" w:cs="Times New Roman"/>
          <w:sz w:val="24"/>
          <w:szCs w:val="24"/>
        </w:rPr>
        <w:t xml:space="preserve">e </w:t>
      </w:r>
      <w:r>
        <w:rPr>
          <w:rFonts w:ascii="Times New Roman" w:hAnsi="Times New Roman" w:cs="Times New Roman"/>
          <w:i/>
          <w:sz w:val="24"/>
          <w:szCs w:val="24"/>
        </w:rPr>
        <w:t xml:space="preserve">e, </w:t>
      </w:r>
      <w:r>
        <w:rPr>
          <w:rFonts w:ascii="Times New Roman" w:hAnsi="Times New Roman" w:cs="Times New Roman"/>
          <w:sz w:val="24"/>
          <w:szCs w:val="24"/>
        </w:rPr>
        <w:t>do §1º, do art. 2º da Resolução SEFAZ nº 971/2016.</w:t>
      </w:r>
    </w:p>
    <w:p w14:paraId="08A6632B">
      <w:pPr>
        <w:pStyle w:val="83"/>
        <w:spacing w:line="288" w:lineRule="auto"/>
        <w:ind w:left="0" w:firstLine="0"/>
        <w:contextualSpacing/>
        <w:rPr>
          <w:rFonts w:ascii="Times New Roman" w:hAnsi="Times New Roman" w:cs="Times New Roman"/>
          <w:sz w:val="24"/>
          <w:szCs w:val="24"/>
        </w:rPr>
      </w:pPr>
    </w:p>
    <w:p w14:paraId="7237186C">
      <w:pPr>
        <w:pStyle w:val="83"/>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16.10 Caso o Edital admita a subcontratação, os pagamentos aos subcontratados serão realizados diretamente pelo contratado, ficando vedada a emissão de empenho do contratante diretamente aos subcontratados.</w:t>
      </w:r>
    </w:p>
    <w:p w14:paraId="46B0E317">
      <w:pPr>
        <w:pStyle w:val="83"/>
        <w:spacing w:line="288" w:lineRule="auto"/>
        <w:ind w:left="0" w:firstLine="0"/>
        <w:contextualSpacing/>
        <w:rPr>
          <w:rFonts w:ascii="Times New Roman" w:hAnsi="Times New Roman" w:cs="Times New Roman"/>
          <w:sz w:val="24"/>
          <w:szCs w:val="24"/>
        </w:rPr>
      </w:pPr>
    </w:p>
    <w:p w14:paraId="0B04CCF0">
      <w:pPr>
        <w:pStyle w:val="83"/>
        <w:spacing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16.10.1 A subcontratação porventura realizada será integralmente custeada pelo contratado.</w:t>
      </w:r>
    </w:p>
    <w:p w14:paraId="5236D606">
      <w:pPr>
        <w:pStyle w:val="81"/>
        <w:spacing w:before="0" w:beforeAutospacing="0" w:after="0" w:afterAutospacing="0" w:line="288" w:lineRule="auto"/>
        <w:contextualSpacing/>
        <w:jc w:val="both"/>
        <w:rPr>
          <w:rFonts w:eastAsia="Calibri"/>
          <w:lang w:eastAsia="en-US"/>
        </w:rPr>
      </w:pPr>
    </w:p>
    <w:p w14:paraId="1CBD7EEC">
      <w:pPr>
        <w:pStyle w:val="81"/>
        <w:spacing w:before="0" w:beforeAutospacing="0" w:after="0" w:afterAutospacing="0" w:line="288" w:lineRule="auto"/>
        <w:contextualSpacing/>
        <w:jc w:val="both"/>
        <w:rPr>
          <w:rFonts w:eastAsia="Calibri"/>
          <w:b/>
          <w:bCs/>
          <w:lang w:eastAsia="en-US"/>
        </w:rPr>
      </w:pPr>
      <w:r>
        <w:rPr>
          <w:rFonts w:eastAsia="Calibri"/>
          <w:b/>
          <w:bCs/>
          <w:lang w:eastAsia="en-US"/>
        </w:rPr>
        <w:t xml:space="preserve">17. PRAZO CONTRATUAL </w:t>
      </w:r>
    </w:p>
    <w:p w14:paraId="2CBAD5F0">
      <w:pPr>
        <w:pStyle w:val="83"/>
        <w:spacing w:before="0" w:after="0" w:line="288" w:lineRule="auto"/>
        <w:ind w:left="0" w:firstLine="0"/>
        <w:contextualSpacing/>
        <w:rPr>
          <w:rFonts w:ascii="Times New Roman" w:hAnsi="Times New Roman" w:cs="Times New Roman"/>
          <w:sz w:val="24"/>
          <w:szCs w:val="24"/>
        </w:rPr>
      </w:pPr>
    </w:p>
    <w:p w14:paraId="16AE267E">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17.1 O prazo de vigência do Contrato é de </w:t>
      </w:r>
      <w:r>
        <w:rPr>
          <w:rFonts w:ascii="Times New Roman" w:hAnsi="Times New Roman" w:cs="Times New Roman"/>
          <w:color w:val="000000" w:themeColor="text1"/>
          <w:sz w:val="24"/>
          <w:szCs w:val="24"/>
          <w14:textFill>
            <w14:solidFill>
              <w14:schemeClr w14:val="tx1"/>
            </w14:solidFill>
          </w14:textFill>
        </w:rPr>
        <w:t>12 (doze) meses</w:t>
      </w:r>
      <w:r>
        <w:rPr>
          <w:rFonts w:ascii="Times New Roman" w:hAnsi="Times New Roman" w:cs="Times New Roman"/>
          <w:sz w:val="24"/>
          <w:szCs w:val="24"/>
        </w:rPr>
        <w:t xml:space="preserve">, contado da data da </w:t>
      </w:r>
      <w:r>
        <w:rPr>
          <w:rFonts w:ascii="Times New Roman" w:hAnsi="Times New Roman" w:cs="Times New Roman"/>
          <w:iCs/>
          <w:sz w:val="24"/>
          <w:szCs w:val="24"/>
        </w:rPr>
        <w:t>divulgação no Portal Nacional de Contratações Públicas</w:t>
      </w:r>
      <w:r>
        <w:rPr>
          <w:rFonts w:ascii="Times New Roman" w:hAnsi="Times New Roman" w:cs="Times New Roman"/>
          <w:sz w:val="24"/>
          <w:szCs w:val="24"/>
        </w:rPr>
        <w:t>.</w:t>
      </w:r>
    </w:p>
    <w:p w14:paraId="42B30E15">
      <w:pPr>
        <w:pStyle w:val="83"/>
        <w:spacing w:after="0" w:line="288" w:lineRule="auto"/>
        <w:ind w:left="0" w:firstLine="0"/>
        <w:contextualSpacing/>
        <w:rPr>
          <w:rFonts w:ascii="Times New Roman" w:hAnsi="Times New Roman" w:cs="Times New Roman"/>
          <w:color w:val="auto"/>
          <w:sz w:val="24"/>
          <w:szCs w:val="24"/>
        </w:rPr>
      </w:pPr>
    </w:p>
    <w:p w14:paraId="6102D4B6">
      <w:pPr>
        <w:pStyle w:val="83"/>
        <w:spacing w:after="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17.2 O prazo de vigência será automaticamente prorrogado,</w:t>
      </w:r>
      <w:r>
        <w:rPr>
          <w:rFonts w:ascii="Times New Roman" w:hAnsi="Times New Roman" w:cs="Times New Roman"/>
          <w:bCs/>
          <w:iCs/>
          <w:color w:val="auto"/>
          <w:sz w:val="24"/>
          <w:szCs w:val="24"/>
        </w:rPr>
        <w:t xml:space="preserve"> sem prejuízo da formalização adequada,</w:t>
      </w:r>
      <w:r>
        <w:rPr>
          <w:rFonts w:ascii="Times New Roman" w:hAnsi="Times New Roman" w:cs="Times New Roman"/>
          <w:color w:val="auto"/>
          <w:sz w:val="24"/>
          <w:szCs w:val="24"/>
        </w:rPr>
        <w:t xml:space="preserve"> quando o objeto não for concluído no período firmado acima, ressalvadas as providências cabíveis no caso de culpa do contratado, previstas neste instrumento e no Contrato.</w:t>
      </w:r>
      <w:r>
        <w:rPr>
          <w:rFonts w:ascii="Times New Roman" w:hAnsi="Times New Roman" w:cs="Times New Roman"/>
          <w:sz w:val="24"/>
          <w:szCs w:val="24"/>
        </w:rPr>
        <w:t> </w:t>
      </w:r>
    </w:p>
    <w:p w14:paraId="44A7363D">
      <w:pPr>
        <w:pStyle w:val="83"/>
        <w:spacing w:after="0" w:line="288" w:lineRule="auto"/>
        <w:ind w:left="0" w:firstLine="0"/>
        <w:contextualSpacing/>
        <w:rPr>
          <w:rFonts w:ascii="Times New Roman" w:hAnsi="Times New Roman" w:cs="Times New Roman"/>
          <w:sz w:val="24"/>
          <w:szCs w:val="24"/>
        </w:rPr>
      </w:pPr>
    </w:p>
    <w:p w14:paraId="676CC0DB">
      <w:pPr>
        <w:pStyle w:val="81"/>
        <w:spacing w:before="0" w:beforeAutospacing="0" w:after="0" w:afterAutospacing="0" w:line="288" w:lineRule="auto"/>
        <w:contextualSpacing/>
        <w:jc w:val="both"/>
      </w:pPr>
      <w:r>
        <w:rPr>
          <w:rFonts w:eastAsia="Calibri"/>
          <w:b/>
          <w:bCs/>
          <w:lang w:eastAsia="en-US"/>
        </w:rPr>
        <w:t xml:space="preserve">18. REAJUSTE </w:t>
      </w:r>
    </w:p>
    <w:p w14:paraId="522F8CBD">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18.1 Os preços contratados serão reajustados após o interregno de 1 (um) ano, mediante solicitação do contratado.</w:t>
      </w:r>
    </w:p>
    <w:p w14:paraId="0537202E">
      <w:pPr>
        <w:pStyle w:val="83"/>
        <w:spacing w:before="288" w:beforeLines="120" w:after="288" w:afterLines="120" w:line="288" w:lineRule="auto"/>
        <w:ind w:left="0" w:firstLine="0"/>
        <w:contextualSpacing/>
        <w:rPr>
          <w:rFonts w:ascii="Times New Roman" w:hAnsi="Times New Roman" w:cs="Times New Roman"/>
          <w:sz w:val="24"/>
          <w:szCs w:val="24"/>
        </w:rPr>
      </w:pPr>
    </w:p>
    <w:p w14:paraId="2EDA3F4E">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18.2 O interregno mínimo de 1 (um) ano para o primeiro reajuste será contado da data do orçamento estimado. </w:t>
      </w:r>
    </w:p>
    <w:p w14:paraId="05BB6ED4">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0297662E">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18.3 </w:t>
      </w:r>
      <w:r>
        <w:rPr>
          <w:rFonts w:ascii="Times New Roman" w:hAnsi="Times New Roman" w:cs="Times New Roman"/>
          <w:sz w:val="24"/>
          <w:szCs w:val="24"/>
        </w:rPr>
        <w:t>Nos reajustes subsequentes ao primeiro, o interregno mínimo de um ano será contado a partir do fato gerador que deu ensejo ao último reajuste.</w:t>
      </w:r>
    </w:p>
    <w:p w14:paraId="053797CE">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40C769F1">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18.4 </w:t>
      </w:r>
      <w:r>
        <w:rPr>
          <w:rFonts w:ascii="Times New Roman" w:hAnsi="Times New Roman" w:cs="Times New Roman"/>
          <w:sz w:val="24"/>
          <w:szCs w:val="24"/>
        </w:rPr>
        <w:t>Os preços iniciais serão reajustados, mediante a aplicação, pelo contratante, do índice IPCA, exclusivamente para as obrigações que se iniciem após a anualidade.</w:t>
      </w:r>
    </w:p>
    <w:p w14:paraId="3D38248C">
      <w:pPr>
        <w:pStyle w:val="83"/>
        <w:spacing w:before="288" w:beforeLines="120" w:after="288" w:afterLines="120" w:line="288" w:lineRule="auto"/>
        <w:ind w:left="0" w:firstLine="0"/>
        <w:contextualSpacing/>
        <w:rPr>
          <w:rFonts w:ascii="Times New Roman" w:hAnsi="Times New Roman" w:cs="Times New Roman"/>
          <w:color w:val="FF0000"/>
          <w:sz w:val="24"/>
          <w:szCs w:val="24"/>
        </w:rPr>
      </w:pPr>
      <w:bookmarkStart w:id="36" w:name="_Hlk153284733"/>
    </w:p>
    <w:bookmarkEnd w:id="36"/>
    <w:p w14:paraId="629A1DEB">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4D7AB290">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18.5 </w:t>
      </w:r>
      <w:r>
        <w:rPr>
          <w:rFonts w:ascii="Times New Roman" w:hAnsi="Times New Roman" w:cs="Times New Roman"/>
          <w:sz w:val="24"/>
          <w:szCs w:val="24"/>
        </w:rPr>
        <w:t xml:space="preserve">No caso de atraso ou não divulgação do(s) índice(s) de reajustamento, o contratante pagará ao contratado a importância calculada pela última variação conhecida, liquidando a diferença correspondente tão logo seja(m) divulgado(s) o(s) índice(s) definitivo(s). </w:t>
      </w:r>
    </w:p>
    <w:p w14:paraId="77211141">
      <w:pPr>
        <w:pStyle w:val="83"/>
        <w:spacing w:before="288" w:beforeLines="120" w:after="288" w:afterLines="120" w:line="288" w:lineRule="auto"/>
        <w:ind w:left="0" w:firstLine="0"/>
        <w:contextualSpacing/>
        <w:rPr>
          <w:rFonts w:ascii="Times New Roman" w:hAnsi="Times New Roman" w:cs="Times New Roman"/>
          <w:sz w:val="24"/>
          <w:szCs w:val="24"/>
        </w:rPr>
      </w:pPr>
    </w:p>
    <w:p w14:paraId="4A9FEDBD">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18.5.1 Fica o contratado obrigado a apresentar memória de cálculo referente ao reajustamento de preços do valor remanescente, sempre que este ocorrer, sendo adotado na aferição final o índice definitivo.</w:t>
      </w:r>
    </w:p>
    <w:p w14:paraId="747040B3">
      <w:pPr>
        <w:pStyle w:val="83"/>
        <w:spacing w:before="288" w:beforeLines="120" w:after="288" w:afterLines="120" w:line="288" w:lineRule="auto"/>
        <w:ind w:left="0" w:firstLine="0"/>
        <w:contextualSpacing/>
        <w:rPr>
          <w:rFonts w:ascii="Times New Roman" w:hAnsi="Times New Roman" w:cs="Times New Roman"/>
          <w:sz w:val="24"/>
          <w:szCs w:val="24"/>
        </w:rPr>
      </w:pPr>
    </w:p>
    <w:p w14:paraId="116F1974">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18.6 Caso o(s) índice(s) estabelecido(s) para reajustamento venha(m) a ser extinto(s) ou de qualquer forma não possa(m) mais ser utilizado(s), será(ão) adotado(s), em substituição, o(s) que vier(em) a ser determinado(s) pela legislação então em vigor.</w:t>
      </w:r>
    </w:p>
    <w:p w14:paraId="6E302585">
      <w:pPr>
        <w:pStyle w:val="83"/>
        <w:spacing w:before="288" w:beforeLines="120" w:after="288" w:afterLines="120" w:line="288" w:lineRule="auto"/>
        <w:ind w:left="0" w:firstLine="0"/>
        <w:contextualSpacing/>
        <w:rPr>
          <w:rFonts w:ascii="Times New Roman" w:hAnsi="Times New Roman" w:cs="Times New Roman"/>
          <w:sz w:val="24"/>
          <w:szCs w:val="24"/>
        </w:rPr>
      </w:pPr>
    </w:p>
    <w:p w14:paraId="481C49DD">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18.7 Na ausência de previsão legal quanto ao índice substituto, as partes elegerão novo índice oficial, para reajustamento do preço do valor remanescente, por meio de termo aditivo.</w:t>
      </w:r>
    </w:p>
    <w:p w14:paraId="004A8884">
      <w:pPr>
        <w:pStyle w:val="83"/>
        <w:spacing w:before="288" w:beforeLines="120" w:after="288" w:afterLines="120" w:line="288" w:lineRule="auto"/>
        <w:ind w:left="0" w:firstLine="0"/>
        <w:contextualSpacing/>
        <w:rPr>
          <w:rFonts w:ascii="Times New Roman" w:hAnsi="Times New Roman" w:cs="Times New Roman"/>
          <w:sz w:val="24"/>
          <w:szCs w:val="24"/>
        </w:rPr>
      </w:pPr>
    </w:p>
    <w:p w14:paraId="4663F2A4">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18.8 O pedido de reajuste deverá ser formulado durante a vigência do contrato e antes de eventual prorrogação contratual, sob pena de preclusão.</w:t>
      </w:r>
    </w:p>
    <w:p w14:paraId="03604A63">
      <w:pPr>
        <w:pStyle w:val="83"/>
        <w:spacing w:before="288" w:beforeLines="120" w:after="288" w:afterLines="120" w:line="288" w:lineRule="auto"/>
        <w:ind w:left="0" w:firstLine="0"/>
        <w:contextualSpacing/>
        <w:rPr>
          <w:rFonts w:ascii="Times New Roman" w:hAnsi="Times New Roman" w:cs="Times New Roman"/>
          <w:sz w:val="24"/>
          <w:szCs w:val="24"/>
        </w:rPr>
      </w:pPr>
    </w:p>
    <w:p w14:paraId="20125A6F">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18.8.1 Os efeitos financeiros do pedido de reajuste serão contados:</w:t>
      </w:r>
    </w:p>
    <w:p w14:paraId="7B241D14">
      <w:pPr>
        <w:pStyle w:val="83"/>
        <w:spacing w:before="288" w:beforeLines="120" w:after="288" w:afterLines="120" w:line="288" w:lineRule="auto"/>
        <w:ind w:left="0" w:firstLine="0"/>
        <w:contextualSpacing/>
        <w:rPr>
          <w:rFonts w:ascii="Times New Roman" w:hAnsi="Times New Roman" w:cs="Times New Roman"/>
          <w:sz w:val="24"/>
          <w:szCs w:val="24"/>
        </w:rPr>
      </w:pPr>
    </w:p>
    <w:p w14:paraId="337C706B">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da data-base prevista no contrato, desde que requerido o reajuste no prazo de 60 (sessenta) dias da data de publicação do índice ajustado contratualmente;</w:t>
      </w:r>
    </w:p>
    <w:p w14:paraId="47F17EEE">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b) a partir da data do requerimento do contratado, caso o pedido seja formulado após o prazo fixado na alínea a, acima, o que não acarretará a alteração do marco para cômputo da anualidade do reajustamento, já adotado no edital e no contrato.</w:t>
      </w:r>
    </w:p>
    <w:p w14:paraId="169F43EF">
      <w:pPr>
        <w:pStyle w:val="83"/>
        <w:spacing w:before="288" w:beforeLines="120" w:after="288" w:afterLines="120" w:line="288" w:lineRule="auto"/>
        <w:ind w:left="0" w:firstLine="0"/>
        <w:contextualSpacing/>
        <w:rPr>
          <w:rFonts w:ascii="Times New Roman" w:hAnsi="Times New Roman" w:cs="Times New Roman"/>
          <w:color w:val="auto"/>
          <w:sz w:val="24"/>
          <w:szCs w:val="24"/>
        </w:rPr>
      </w:pPr>
    </w:p>
    <w:p w14:paraId="76FDE8A2">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18.9 </w:t>
      </w:r>
      <w:r>
        <w:rPr>
          <w:rFonts w:ascii="Times New Roman" w:hAnsi="Times New Roman" w:cs="Times New Roman"/>
          <w:sz w:val="24"/>
          <w:szCs w:val="24"/>
        </w:rPr>
        <w:t>Caso, na data de eventual prorrogação contratual, ainda não tenha sido divulgado o índice de reajuste, deverá, a requerimento do contratado, ser inserida cláusula no termo aditivo de prorrogação para resguardar o direito futuro do contratado, a ser exercido tão logo se disponha dos valores reajustados, sob pena de preclusão.</w:t>
      </w:r>
    </w:p>
    <w:p w14:paraId="05D293A1">
      <w:pPr>
        <w:pStyle w:val="83"/>
        <w:spacing w:before="288" w:beforeLines="120" w:after="288" w:afterLines="120" w:line="288" w:lineRule="auto"/>
        <w:ind w:left="0" w:firstLine="0"/>
        <w:contextualSpacing/>
        <w:rPr>
          <w:rFonts w:ascii="Times New Roman" w:hAnsi="Times New Roman" w:cs="Times New Roman"/>
          <w:sz w:val="24"/>
          <w:szCs w:val="24"/>
        </w:rPr>
      </w:pPr>
    </w:p>
    <w:p w14:paraId="7A7635DE">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18.10 A extinção do contrato não configurará óbice para o deferimento do reajuste solicitado tempestivamente, hipótese em que será concedido por meio de termo indenizatório.</w:t>
      </w:r>
    </w:p>
    <w:p w14:paraId="23FD7033">
      <w:pPr>
        <w:pStyle w:val="83"/>
        <w:spacing w:before="288" w:beforeLines="120" w:after="288" w:afterLines="120" w:line="288" w:lineRule="auto"/>
        <w:ind w:left="0" w:firstLine="0"/>
        <w:contextualSpacing/>
        <w:rPr>
          <w:rFonts w:ascii="Times New Roman" w:hAnsi="Times New Roman" w:cs="Times New Roman"/>
          <w:sz w:val="24"/>
          <w:szCs w:val="24"/>
        </w:rPr>
      </w:pPr>
    </w:p>
    <w:p w14:paraId="4CC61364">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18.11 O reajuste será realizado por apostilamento, se esta for a única alteração contratual a ser realizada.</w:t>
      </w:r>
    </w:p>
    <w:p w14:paraId="65E2CC60">
      <w:pPr>
        <w:pStyle w:val="83"/>
        <w:spacing w:before="288" w:beforeLines="120" w:after="288" w:afterLines="120" w:line="288" w:lineRule="auto"/>
        <w:ind w:left="0" w:firstLine="0"/>
        <w:contextualSpacing/>
        <w:rPr>
          <w:rFonts w:ascii="Times New Roman" w:hAnsi="Times New Roman" w:cs="Times New Roman"/>
          <w:sz w:val="24"/>
          <w:szCs w:val="24"/>
        </w:rPr>
      </w:pPr>
    </w:p>
    <w:p w14:paraId="48C7720A">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18.12 O reajuste de preços não interfere no direito das partes de solicitar, a qualquer momento, a manutenção do equilíbrio econômico dos contratos com base no disposto no art. 124, inciso II, alínea “d”, da Lei n.º 14.133/2021.</w:t>
      </w:r>
    </w:p>
    <w:p w14:paraId="266ECA71">
      <w:pPr>
        <w:pStyle w:val="81"/>
        <w:spacing w:before="0" w:beforeAutospacing="0" w:after="0" w:afterAutospacing="0" w:line="288" w:lineRule="auto"/>
        <w:contextualSpacing/>
        <w:jc w:val="both"/>
        <w:rPr>
          <w:rFonts w:eastAsia="Calibri"/>
          <w:b/>
          <w:bCs/>
          <w:lang w:eastAsia="en-US"/>
        </w:rPr>
      </w:pPr>
      <w:r>
        <w:rPr>
          <w:rFonts w:eastAsia="Calibri"/>
          <w:b/>
          <w:bCs/>
          <w:lang w:eastAsia="en-US"/>
        </w:rPr>
        <w:t>19. EXECUÇÃO, GESTÃO E FISCALIZAÇÃO CONTRATUAIS</w:t>
      </w:r>
    </w:p>
    <w:p w14:paraId="03591E9B">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19.1 O regime de execução contratual, o modelo de gestão e a fiscalização, assim como os prazos e condições de conclusão, entrega, observação e recebimento se submetem ao disposto no Termo de Referência anexo a este Edital, na forma do Decreto nº 40/2025.</w:t>
      </w:r>
    </w:p>
    <w:p w14:paraId="0CF7D3B6">
      <w:pPr>
        <w:spacing w:line="288" w:lineRule="auto"/>
        <w:contextualSpacing/>
        <w:jc w:val="both"/>
        <w:rPr>
          <w:b/>
          <w:bCs/>
          <w:sz w:val="24"/>
          <w:szCs w:val="24"/>
        </w:rPr>
      </w:pPr>
      <w:r>
        <w:rPr>
          <w:b/>
          <w:bCs/>
          <w:sz w:val="24"/>
          <w:szCs w:val="24"/>
        </w:rPr>
        <w:t>20. DAS INFRAÇÕES ADMINISTRATIVAS E SANÇÕES</w:t>
      </w:r>
    </w:p>
    <w:p w14:paraId="1A81B7D3">
      <w:pPr>
        <w:spacing w:line="288" w:lineRule="auto"/>
        <w:contextualSpacing/>
        <w:jc w:val="both"/>
        <w:rPr>
          <w:sz w:val="24"/>
          <w:szCs w:val="24"/>
        </w:rPr>
      </w:pPr>
    </w:p>
    <w:p w14:paraId="7D75D0CC">
      <w:pPr>
        <w:spacing w:line="288" w:lineRule="auto"/>
        <w:contextualSpacing/>
        <w:jc w:val="both"/>
        <w:rPr>
          <w:color w:val="000000"/>
          <w:sz w:val="24"/>
          <w:szCs w:val="24"/>
        </w:rPr>
      </w:pPr>
      <w:r>
        <w:rPr>
          <w:color w:val="000000"/>
          <w:sz w:val="24"/>
          <w:szCs w:val="24"/>
        </w:rPr>
        <w:t>20.1 Constitui infração administrativa, a prática, pelo licitante ou contratado, das seguintes condutas previstas no art. 155 da Lei nº 14.133/2021:</w:t>
      </w:r>
    </w:p>
    <w:p w14:paraId="2BD81653">
      <w:pPr>
        <w:spacing w:line="288" w:lineRule="auto"/>
        <w:contextualSpacing/>
        <w:jc w:val="both"/>
        <w:rPr>
          <w:color w:val="000000"/>
          <w:sz w:val="24"/>
          <w:szCs w:val="24"/>
        </w:rPr>
      </w:pPr>
    </w:p>
    <w:p w14:paraId="1BDD3D81">
      <w:pPr>
        <w:spacing w:line="288" w:lineRule="auto"/>
        <w:contextualSpacing/>
        <w:jc w:val="both"/>
        <w:rPr>
          <w:sz w:val="24"/>
          <w:szCs w:val="24"/>
        </w:rPr>
      </w:pPr>
      <w:bookmarkStart w:id="37" w:name="_Hlk183789048"/>
      <w:r>
        <w:rPr>
          <w:color w:val="000000"/>
          <w:sz w:val="24"/>
          <w:szCs w:val="24"/>
        </w:rPr>
        <w:t>20</w:t>
      </w:r>
      <w:bookmarkEnd w:id="37"/>
      <w:r>
        <w:rPr>
          <w:color w:val="000000"/>
          <w:sz w:val="24"/>
          <w:szCs w:val="24"/>
        </w:rPr>
        <w:t>.1.1 dar causa à inexecução parcial do contrato</w:t>
      </w:r>
      <w:r>
        <w:rPr>
          <w:sz w:val="24"/>
          <w:szCs w:val="24"/>
        </w:rPr>
        <w:t>;</w:t>
      </w:r>
    </w:p>
    <w:p w14:paraId="118D3F0E">
      <w:pPr>
        <w:spacing w:line="288" w:lineRule="auto"/>
        <w:contextualSpacing/>
        <w:jc w:val="both"/>
        <w:rPr>
          <w:sz w:val="24"/>
          <w:szCs w:val="24"/>
        </w:rPr>
      </w:pPr>
    </w:p>
    <w:p w14:paraId="72B8B09C">
      <w:pPr>
        <w:spacing w:line="288" w:lineRule="auto"/>
        <w:contextualSpacing/>
        <w:jc w:val="both"/>
        <w:rPr>
          <w:sz w:val="24"/>
          <w:szCs w:val="24"/>
        </w:rPr>
      </w:pPr>
      <w:r>
        <w:rPr>
          <w:color w:val="000000"/>
          <w:sz w:val="24"/>
          <w:szCs w:val="24"/>
        </w:rPr>
        <w:t>20.1.2 dar causa à inexecução parcial do contrato que cause grave dano à Administração, ao funcionamento dos serviços públicos ou ao interesse coletivo;</w:t>
      </w:r>
    </w:p>
    <w:p w14:paraId="325C372D">
      <w:pPr>
        <w:spacing w:line="288" w:lineRule="auto"/>
        <w:contextualSpacing/>
        <w:jc w:val="both"/>
        <w:rPr>
          <w:color w:val="000000"/>
          <w:sz w:val="24"/>
          <w:szCs w:val="24"/>
        </w:rPr>
      </w:pPr>
    </w:p>
    <w:p w14:paraId="16BD7F69">
      <w:pPr>
        <w:spacing w:after="160" w:line="288" w:lineRule="auto"/>
        <w:contextualSpacing/>
        <w:jc w:val="both"/>
        <w:rPr>
          <w:sz w:val="24"/>
          <w:szCs w:val="24"/>
        </w:rPr>
      </w:pPr>
      <w:r>
        <w:rPr>
          <w:color w:val="000000"/>
          <w:sz w:val="24"/>
          <w:szCs w:val="24"/>
        </w:rPr>
        <w:t>20.1.3 dar causa à inexecução total do contrato;</w:t>
      </w:r>
    </w:p>
    <w:p w14:paraId="7ECD8C3F">
      <w:pPr>
        <w:spacing w:line="288" w:lineRule="auto"/>
        <w:contextualSpacing/>
        <w:jc w:val="both"/>
        <w:rPr>
          <w:color w:val="000000"/>
          <w:sz w:val="24"/>
          <w:szCs w:val="24"/>
        </w:rPr>
      </w:pPr>
    </w:p>
    <w:p w14:paraId="2E8A5A6D">
      <w:pPr>
        <w:spacing w:line="288" w:lineRule="auto"/>
        <w:contextualSpacing/>
        <w:jc w:val="both"/>
        <w:rPr>
          <w:sz w:val="24"/>
          <w:szCs w:val="24"/>
        </w:rPr>
      </w:pPr>
      <w:r>
        <w:rPr>
          <w:color w:val="000000"/>
          <w:sz w:val="24"/>
          <w:szCs w:val="24"/>
        </w:rPr>
        <w:t xml:space="preserve">20.1.4 deixar de entregar a documentação exigida para o certame ou não entregar qualquer documento que tenha sido solicitado pelo Pregoeiro durante o certame; </w:t>
      </w:r>
    </w:p>
    <w:p w14:paraId="0CBBE616">
      <w:pPr>
        <w:spacing w:line="288" w:lineRule="auto"/>
        <w:contextualSpacing/>
        <w:jc w:val="both"/>
        <w:rPr>
          <w:color w:val="000000"/>
          <w:sz w:val="24"/>
          <w:szCs w:val="24"/>
        </w:rPr>
      </w:pPr>
    </w:p>
    <w:p w14:paraId="1F768F58">
      <w:pPr>
        <w:spacing w:line="288" w:lineRule="auto"/>
        <w:contextualSpacing/>
        <w:jc w:val="both"/>
        <w:rPr>
          <w:color w:val="000000"/>
          <w:sz w:val="24"/>
          <w:szCs w:val="24"/>
        </w:rPr>
      </w:pPr>
      <w:r>
        <w:rPr>
          <w:color w:val="000000"/>
          <w:sz w:val="24"/>
          <w:szCs w:val="24"/>
        </w:rPr>
        <w:t>20.1.5 não manter a proposta, salvo em decorrência de fato superveniente devidamente justificado, em especial quando:</w:t>
      </w:r>
    </w:p>
    <w:p w14:paraId="2265E309">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color w:val="000000"/>
          <w:sz w:val="24"/>
          <w:szCs w:val="24"/>
        </w:rPr>
        <w:t>20</w:t>
      </w:r>
      <w:r>
        <w:rPr>
          <w:rFonts w:ascii="Times New Roman" w:hAnsi="Times New Roman" w:cs="Times New Roman"/>
          <w:sz w:val="24"/>
          <w:szCs w:val="24"/>
        </w:rPr>
        <w:t xml:space="preserve">.1.5.1 não enviar a proposta adequada ao último lance ofertado ou após a negociação; </w:t>
      </w:r>
    </w:p>
    <w:p w14:paraId="39C38F5C">
      <w:pPr>
        <w:pStyle w:val="106"/>
        <w:spacing w:before="288" w:beforeLines="120" w:after="288" w:afterLines="120" w:line="288" w:lineRule="auto"/>
        <w:ind w:left="0"/>
        <w:contextualSpacing/>
        <w:rPr>
          <w:rFonts w:ascii="Times New Roman" w:hAnsi="Times New Roman" w:cs="Times New Roman"/>
          <w:sz w:val="24"/>
          <w:szCs w:val="24"/>
        </w:rPr>
      </w:pPr>
    </w:p>
    <w:p w14:paraId="1E5F9404">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color w:val="000000"/>
          <w:sz w:val="24"/>
          <w:szCs w:val="24"/>
        </w:rPr>
        <w:t>20</w:t>
      </w:r>
      <w:r>
        <w:rPr>
          <w:rFonts w:ascii="Times New Roman" w:hAnsi="Times New Roman" w:cs="Times New Roman"/>
          <w:sz w:val="24"/>
          <w:szCs w:val="24"/>
        </w:rPr>
        <w:t xml:space="preserve">.1.5.2 recusar-se a enviar o detalhamento da proposta quando exigível; </w:t>
      </w:r>
    </w:p>
    <w:p w14:paraId="53BE1DE4">
      <w:pPr>
        <w:pStyle w:val="106"/>
        <w:spacing w:before="288" w:beforeLines="120" w:after="288" w:afterLines="120" w:line="288" w:lineRule="auto"/>
        <w:ind w:left="0"/>
        <w:contextualSpacing/>
        <w:rPr>
          <w:rFonts w:ascii="Times New Roman" w:hAnsi="Times New Roman" w:cs="Times New Roman"/>
          <w:sz w:val="24"/>
          <w:szCs w:val="24"/>
        </w:rPr>
      </w:pPr>
    </w:p>
    <w:p w14:paraId="3F8D95C2">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20.1.5.3 pedir para ser desclassificado quando encerrada a etapa competitiva; </w:t>
      </w:r>
    </w:p>
    <w:p w14:paraId="35B71CD4">
      <w:pPr>
        <w:pStyle w:val="106"/>
        <w:spacing w:before="288" w:beforeLines="120" w:after="288" w:afterLines="120" w:line="288" w:lineRule="auto"/>
        <w:ind w:left="0"/>
        <w:contextualSpacing/>
        <w:rPr>
          <w:rFonts w:ascii="Times New Roman" w:hAnsi="Times New Roman" w:cs="Times New Roman"/>
          <w:sz w:val="24"/>
          <w:szCs w:val="24"/>
        </w:rPr>
      </w:pPr>
    </w:p>
    <w:p w14:paraId="4CD9B354">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20.1.5.4 deixar de apresentar amostra; ou</w:t>
      </w:r>
    </w:p>
    <w:p w14:paraId="56C16DD6">
      <w:pPr>
        <w:pStyle w:val="106"/>
        <w:spacing w:before="288" w:beforeLines="120" w:after="288" w:afterLines="120" w:line="288" w:lineRule="auto"/>
        <w:ind w:left="0"/>
        <w:contextualSpacing/>
        <w:rPr>
          <w:rFonts w:ascii="Times New Roman" w:hAnsi="Times New Roman" w:cs="Times New Roman"/>
          <w:sz w:val="24"/>
          <w:szCs w:val="24"/>
        </w:rPr>
      </w:pPr>
    </w:p>
    <w:p w14:paraId="559FA027">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20.1.5.5 apresentar proposta ou amostra em desacordo com as especificações do instrumento convocatório; </w:t>
      </w:r>
    </w:p>
    <w:p w14:paraId="67CFEA35">
      <w:pPr>
        <w:spacing w:line="288" w:lineRule="auto"/>
        <w:contextualSpacing/>
        <w:jc w:val="both"/>
        <w:rPr>
          <w:color w:val="000000"/>
          <w:sz w:val="24"/>
          <w:szCs w:val="24"/>
        </w:rPr>
      </w:pPr>
      <w:r>
        <w:rPr>
          <w:color w:val="000000"/>
          <w:sz w:val="24"/>
          <w:szCs w:val="24"/>
        </w:rPr>
        <w:t>20.1.6 não celebrar o contrato ou não entregar a documentação exigida para a contratação, quando convocado dentro do prazo de validade de sua proposta;</w:t>
      </w:r>
    </w:p>
    <w:p w14:paraId="2E58DEA1">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20.1.6.1 recusar-se, sem justificativa, a assinar o contrato ou a ata de registro de preço, ou a aceitar ou retirar o instrumento equivalente no prazo estabelecido pela Administração;</w:t>
      </w:r>
    </w:p>
    <w:p w14:paraId="22618521">
      <w:pPr>
        <w:spacing w:line="288" w:lineRule="auto"/>
        <w:contextualSpacing/>
        <w:jc w:val="both"/>
        <w:rPr>
          <w:color w:val="000000"/>
          <w:sz w:val="24"/>
          <w:szCs w:val="24"/>
        </w:rPr>
      </w:pPr>
      <w:r>
        <w:rPr>
          <w:color w:val="000000"/>
          <w:sz w:val="24"/>
          <w:szCs w:val="24"/>
        </w:rPr>
        <w:t>20.1.7 ensejar o retardamento da execução ou da entrega do objeto da contratação sem motivo justificado;</w:t>
      </w:r>
    </w:p>
    <w:p w14:paraId="123D1723">
      <w:pPr>
        <w:spacing w:line="288" w:lineRule="auto"/>
        <w:contextualSpacing/>
        <w:jc w:val="both"/>
        <w:rPr>
          <w:color w:val="000000"/>
          <w:sz w:val="24"/>
          <w:szCs w:val="24"/>
        </w:rPr>
      </w:pPr>
    </w:p>
    <w:p w14:paraId="4CAD4C84">
      <w:pPr>
        <w:spacing w:line="288" w:lineRule="auto"/>
        <w:contextualSpacing/>
        <w:jc w:val="both"/>
        <w:rPr>
          <w:color w:val="000000"/>
          <w:sz w:val="24"/>
          <w:szCs w:val="24"/>
        </w:rPr>
      </w:pPr>
      <w:r>
        <w:rPr>
          <w:color w:val="000000"/>
          <w:sz w:val="24"/>
          <w:szCs w:val="24"/>
        </w:rPr>
        <w:t>20.1.8 apresentar declaração ou documentação falsa exigida para o certame ou prestar declaração falsa durante o certame ou a execução do contrato;</w:t>
      </w:r>
    </w:p>
    <w:p w14:paraId="2F5D43A3">
      <w:pPr>
        <w:spacing w:line="288" w:lineRule="auto"/>
        <w:contextualSpacing/>
        <w:jc w:val="both"/>
        <w:rPr>
          <w:rFonts w:eastAsia="Arial"/>
          <w:color w:val="000000"/>
          <w:sz w:val="24"/>
          <w:szCs w:val="24"/>
        </w:rPr>
      </w:pPr>
    </w:p>
    <w:p w14:paraId="27F89C55">
      <w:pPr>
        <w:spacing w:line="288" w:lineRule="auto"/>
        <w:contextualSpacing/>
        <w:jc w:val="both"/>
        <w:rPr>
          <w:color w:val="000000"/>
          <w:sz w:val="24"/>
          <w:szCs w:val="24"/>
        </w:rPr>
      </w:pPr>
      <w:r>
        <w:rPr>
          <w:color w:val="000000"/>
          <w:sz w:val="24"/>
          <w:szCs w:val="24"/>
        </w:rPr>
        <w:t>20.1.9 fraudar o certame ou praticar ato fraudulento na execução do contrato;</w:t>
      </w:r>
    </w:p>
    <w:p w14:paraId="079233BC">
      <w:pPr>
        <w:spacing w:line="288" w:lineRule="auto"/>
        <w:contextualSpacing/>
        <w:jc w:val="both"/>
        <w:rPr>
          <w:color w:val="000000"/>
          <w:sz w:val="24"/>
          <w:szCs w:val="24"/>
        </w:rPr>
      </w:pPr>
      <w:r>
        <w:rPr>
          <w:color w:val="000000"/>
          <w:sz w:val="24"/>
          <w:szCs w:val="24"/>
        </w:rPr>
        <w:t> </w:t>
      </w:r>
    </w:p>
    <w:p w14:paraId="0ED77862">
      <w:pPr>
        <w:spacing w:line="288" w:lineRule="auto"/>
        <w:contextualSpacing/>
        <w:jc w:val="both"/>
        <w:rPr>
          <w:color w:val="000000"/>
          <w:sz w:val="24"/>
          <w:szCs w:val="24"/>
        </w:rPr>
      </w:pPr>
      <w:r>
        <w:rPr>
          <w:color w:val="000000"/>
          <w:sz w:val="24"/>
          <w:szCs w:val="24"/>
        </w:rPr>
        <w:t>20.1.10 comportar-se de modo inidôneo ou cometer fraude de qualquer natureza, em especial quando:</w:t>
      </w:r>
    </w:p>
    <w:p w14:paraId="7B320D35">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20.1.10.1 agir em conluio ou em desconformidade com a lei; </w:t>
      </w:r>
    </w:p>
    <w:p w14:paraId="4A31A0A4">
      <w:pPr>
        <w:pStyle w:val="106"/>
        <w:spacing w:before="288" w:beforeLines="120" w:after="288" w:afterLines="120" w:line="288" w:lineRule="auto"/>
        <w:ind w:left="0"/>
        <w:contextualSpacing/>
        <w:rPr>
          <w:rFonts w:ascii="Times New Roman" w:hAnsi="Times New Roman" w:cs="Times New Roman"/>
          <w:sz w:val="24"/>
          <w:szCs w:val="24"/>
        </w:rPr>
      </w:pPr>
    </w:p>
    <w:p w14:paraId="6CEC8D1D">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20.1.10.2 induzir deliberadamente a erro no julgamento; </w:t>
      </w:r>
    </w:p>
    <w:p w14:paraId="49EE940F">
      <w:pPr>
        <w:pStyle w:val="106"/>
        <w:spacing w:before="288" w:beforeLines="120" w:after="288" w:afterLines="120" w:line="288" w:lineRule="auto"/>
        <w:ind w:left="0"/>
        <w:contextualSpacing/>
        <w:rPr>
          <w:rFonts w:ascii="Times New Roman" w:hAnsi="Times New Roman" w:cs="Times New Roman"/>
          <w:sz w:val="24"/>
          <w:szCs w:val="24"/>
        </w:rPr>
      </w:pPr>
    </w:p>
    <w:p w14:paraId="60B2ED79">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20.1.10.3 apresentar amostra falsificada ou deteriorada; </w:t>
      </w:r>
    </w:p>
    <w:p w14:paraId="4B4D159F">
      <w:pPr>
        <w:pStyle w:val="106"/>
        <w:spacing w:before="288" w:beforeLines="120" w:after="288" w:afterLines="120" w:line="288" w:lineRule="auto"/>
        <w:ind w:left="0"/>
        <w:contextualSpacing/>
        <w:rPr>
          <w:rFonts w:ascii="Times New Roman" w:hAnsi="Times New Roman" w:cs="Times New Roman"/>
          <w:sz w:val="24"/>
          <w:szCs w:val="24"/>
        </w:rPr>
      </w:pPr>
    </w:p>
    <w:p w14:paraId="6743465B">
      <w:pPr>
        <w:pStyle w:val="106"/>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20.1.10.4 apresentar declaração falsa quanto às condições de participação ou quanto ao enquadramento como ME/EPP; </w:t>
      </w:r>
    </w:p>
    <w:p w14:paraId="1AEF09D8">
      <w:pPr>
        <w:spacing w:line="288" w:lineRule="auto"/>
        <w:contextualSpacing/>
        <w:jc w:val="both"/>
        <w:rPr>
          <w:color w:val="000000"/>
          <w:sz w:val="24"/>
          <w:szCs w:val="24"/>
        </w:rPr>
      </w:pPr>
      <w:r>
        <w:rPr>
          <w:sz w:val="24"/>
          <w:szCs w:val="24"/>
        </w:rPr>
        <w:t>20</w:t>
      </w:r>
      <w:r>
        <w:rPr>
          <w:color w:val="000000"/>
          <w:sz w:val="24"/>
          <w:szCs w:val="24"/>
        </w:rPr>
        <w:t>.1.11 praticar atos ilícitos com vistas a frustrar os objetivos do certame;</w:t>
      </w:r>
    </w:p>
    <w:p w14:paraId="5F5975D0">
      <w:pPr>
        <w:spacing w:line="288" w:lineRule="auto"/>
        <w:contextualSpacing/>
        <w:jc w:val="both"/>
        <w:rPr>
          <w:color w:val="000000"/>
          <w:sz w:val="24"/>
          <w:szCs w:val="24"/>
        </w:rPr>
      </w:pPr>
    </w:p>
    <w:p w14:paraId="06099E4F">
      <w:pPr>
        <w:spacing w:line="288" w:lineRule="auto"/>
        <w:contextualSpacing/>
        <w:jc w:val="both"/>
        <w:rPr>
          <w:rStyle w:val="14"/>
          <w:rFonts w:eastAsiaTheme="minorHAnsi"/>
          <w:color w:val="000000"/>
          <w:sz w:val="24"/>
          <w:szCs w:val="24"/>
        </w:rPr>
      </w:pPr>
      <w:r>
        <w:rPr>
          <w:sz w:val="24"/>
          <w:szCs w:val="24"/>
        </w:rPr>
        <w:t>20</w:t>
      </w:r>
      <w:r>
        <w:rPr>
          <w:color w:val="000000"/>
          <w:sz w:val="24"/>
          <w:szCs w:val="24"/>
        </w:rPr>
        <w:t>.1.12 praticar ato lesivo previsto no </w:t>
      </w:r>
      <w:r>
        <w:fldChar w:fldCharType="begin"/>
      </w:r>
      <w:r>
        <w:instrText xml:space="preserve"> HYPERLINK "http://www.planalto.gov.br/ccivil_03/_Ato2011-2014/2013/Lei/L12846.htm" \l "art5" </w:instrText>
      </w:r>
      <w:r>
        <w:fldChar w:fldCharType="separate"/>
      </w:r>
      <w:r>
        <w:rPr>
          <w:rStyle w:val="14"/>
          <w:rFonts w:eastAsiaTheme="minorHAnsi"/>
          <w:color w:val="000000"/>
          <w:sz w:val="24"/>
          <w:szCs w:val="24"/>
        </w:rPr>
        <w:t>art. 5º da Lei nº 12.846, de 1º de agosto de 2013.</w:t>
      </w:r>
      <w:r>
        <w:rPr>
          <w:rStyle w:val="14"/>
          <w:rFonts w:eastAsiaTheme="minorHAnsi"/>
          <w:color w:val="000000"/>
          <w:sz w:val="24"/>
          <w:szCs w:val="24"/>
        </w:rPr>
        <w:fldChar w:fldCharType="end"/>
      </w:r>
    </w:p>
    <w:p w14:paraId="3A0AE5D6">
      <w:pPr>
        <w:spacing w:line="288" w:lineRule="auto"/>
        <w:contextualSpacing/>
        <w:jc w:val="both"/>
        <w:rPr>
          <w:sz w:val="24"/>
          <w:szCs w:val="24"/>
        </w:rPr>
      </w:pPr>
    </w:p>
    <w:p w14:paraId="4F2011DE">
      <w:pPr>
        <w:spacing w:line="288" w:lineRule="auto"/>
        <w:contextualSpacing/>
        <w:jc w:val="both"/>
        <w:rPr>
          <w:sz w:val="24"/>
          <w:szCs w:val="24"/>
        </w:rPr>
      </w:pPr>
      <w:r>
        <w:rPr>
          <w:sz w:val="24"/>
          <w:szCs w:val="24"/>
        </w:rPr>
        <w:t xml:space="preserve">20.2 O licitante ou </w:t>
      </w:r>
      <w:r>
        <w:rPr>
          <w:color w:val="000000"/>
          <w:sz w:val="24"/>
          <w:szCs w:val="24"/>
        </w:rPr>
        <w:t>contratado</w:t>
      </w:r>
      <w:r>
        <w:rPr>
          <w:sz w:val="24"/>
          <w:szCs w:val="24"/>
        </w:rPr>
        <w:t xml:space="preserve"> que cometer qualquer das condutas discriminadas nos subitens anteriores ficará sujeito, sem prejuízo da responsabilidade civil e criminal, às seguintes sanções:</w:t>
      </w:r>
    </w:p>
    <w:p w14:paraId="1C5A444C">
      <w:pPr>
        <w:spacing w:line="288" w:lineRule="auto"/>
        <w:contextualSpacing/>
        <w:jc w:val="both"/>
        <w:rPr>
          <w:sz w:val="24"/>
          <w:szCs w:val="24"/>
        </w:rPr>
      </w:pPr>
    </w:p>
    <w:p w14:paraId="4DFAD87F">
      <w:pPr>
        <w:spacing w:line="288" w:lineRule="auto"/>
        <w:contextualSpacing/>
        <w:jc w:val="both"/>
        <w:rPr>
          <w:sz w:val="24"/>
          <w:szCs w:val="24"/>
        </w:rPr>
      </w:pPr>
      <w:r>
        <w:rPr>
          <w:sz w:val="24"/>
          <w:szCs w:val="24"/>
        </w:rPr>
        <w:t>20.2.1 Advertência, prevista no art. 156, I, § 2º, da Lei nº 14.133/2021, pela infração descrita no item 20.1.1, de menor potencial ofensivo, quando não se justificar a imposição de penalidade mais grave.</w:t>
      </w:r>
    </w:p>
    <w:p w14:paraId="2B506584">
      <w:pPr>
        <w:spacing w:line="288" w:lineRule="auto"/>
        <w:contextualSpacing/>
        <w:jc w:val="both"/>
        <w:rPr>
          <w:sz w:val="24"/>
          <w:szCs w:val="24"/>
        </w:rPr>
      </w:pPr>
    </w:p>
    <w:p w14:paraId="46534993">
      <w:pPr>
        <w:spacing w:line="288" w:lineRule="auto"/>
        <w:contextualSpacing/>
        <w:jc w:val="both"/>
        <w:rPr>
          <w:sz w:val="24"/>
          <w:szCs w:val="24"/>
        </w:rPr>
      </w:pPr>
      <w:r>
        <w:rPr>
          <w:sz w:val="24"/>
          <w:szCs w:val="24"/>
        </w:rPr>
        <w:t xml:space="preserve">20.2.2 Multa administrativa, prevista no art. 156, II, § 3º, da Lei nº 14.133/2021, pela infração dos subitens 20.1.1 a 20.1.12, que não </w:t>
      </w:r>
      <w:r>
        <w:rPr>
          <w:color w:val="000000"/>
          <w:sz w:val="24"/>
          <w:szCs w:val="24"/>
        </w:rPr>
        <w:t>poderá ser inferior a 0,5% (cinco décimos por cento) nem superior a 30% (trinta por cento) do valor do Contrato</w:t>
      </w:r>
      <w:r>
        <w:rPr>
          <w:sz w:val="24"/>
          <w:szCs w:val="24"/>
        </w:rPr>
        <w:t>, devendo ser observados os seguintes parâmetros:</w:t>
      </w:r>
    </w:p>
    <w:p w14:paraId="043A7754">
      <w:pPr>
        <w:spacing w:line="288" w:lineRule="auto"/>
        <w:contextualSpacing/>
        <w:jc w:val="both"/>
        <w:rPr>
          <w:sz w:val="24"/>
          <w:szCs w:val="24"/>
        </w:rPr>
      </w:pPr>
      <w:r>
        <w:rPr>
          <w:sz w:val="24"/>
          <w:szCs w:val="24"/>
        </w:rPr>
        <w:t xml:space="preserve">a) multa de 0,5% a 1,5%, nos casos da infração prevista no subitem </w:t>
      </w:r>
      <w:r>
        <w:rPr>
          <w:color w:val="000000"/>
          <w:sz w:val="24"/>
          <w:szCs w:val="24"/>
        </w:rPr>
        <w:t>20</w:t>
      </w:r>
      <w:r>
        <w:rPr>
          <w:sz w:val="24"/>
          <w:szCs w:val="24"/>
        </w:rPr>
        <w:t xml:space="preserve">.1.1, incidente sobre o valor anual do Contrato; </w:t>
      </w:r>
    </w:p>
    <w:p w14:paraId="52008CB5">
      <w:pPr>
        <w:spacing w:line="288" w:lineRule="auto"/>
        <w:contextualSpacing/>
        <w:jc w:val="both"/>
        <w:rPr>
          <w:sz w:val="24"/>
          <w:szCs w:val="24"/>
        </w:rPr>
      </w:pPr>
      <w:r>
        <w:rPr>
          <w:sz w:val="24"/>
          <w:szCs w:val="24"/>
        </w:rPr>
        <w:t>b) multa de 0,5% a 15%, nos casos das infrações previstas nos subitens 20.1.2 a 20.1.7, incidente sobre o valor anual do Contrato;</w:t>
      </w:r>
    </w:p>
    <w:p w14:paraId="7A22E89F">
      <w:pPr>
        <w:spacing w:line="288" w:lineRule="auto"/>
        <w:contextualSpacing/>
        <w:jc w:val="both"/>
        <w:rPr>
          <w:sz w:val="24"/>
          <w:szCs w:val="24"/>
        </w:rPr>
      </w:pPr>
      <w:r>
        <w:rPr>
          <w:sz w:val="24"/>
          <w:szCs w:val="24"/>
        </w:rPr>
        <w:t>c) multa de 5% a 30%, nos casos das infrações previstas nos subitens 20.1.8 a 20.1.12, incidente sobre o valor anual do Contrato;</w:t>
      </w:r>
    </w:p>
    <w:p w14:paraId="2843190B">
      <w:pPr>
        <w:pStyle w:val="19"/>
        <w:spacing w:before="225" w:line="288" w:lineRule="auto"/>
        <w:contextualSpacing/>
        <w:jc w:val="both"/>
        <w:rPr>
          <w:color w:val="000000"/>
        </w:rPr>
      </w:pPr>
      <w:r>
        <w:t>20.2.2.1 Na hipótese de a infração ser cometida antes da celebração do Contrato, a base de cálculo da multa do item 20.2.2 será o valor anual estimado da contratação.</w:t>
      </w:r>
    </w:p>
    <w:p w14:paraId="1F3DB4F6">
      <w:pPr>
        <w:spacing w:line="288" w:lineRule="auto"/>
        <w:contextualSpacing/>
        <w:jc w:val="both"/>
        <w:rPr>
          <w:sz w:val="24"/>
          <w:szCs w:val="24"/>
        </w:rPr>
      </w:pPr>
      <w:r>
        <w:rPr>
          <w:sz w:val="24"/>
          <w:szCs w:val="24"/>
        </w:rPr>
        <w:t>20.2.2.2 Em caso de reincidência, o valor total das multas administrativas aplicadas não poderá exceder o limite de 30% (trinta por cento) sobre o valor total do Contrato.</w:t>
      </w:r>
    </w:p>
    <w:p w14:paraId="1D540B53">
      <w:pPr>
        <w:spacing w:line="288" w:lineRule="auto"/>
        <w:contextualSpacing/>
        <w:jc w:val="both"/>
        <w:rPr>
          <w:sz w:val="24"/>
          <w:szCs w:val="24"/>
        </w:rPr>
      </w:pPr>
    </w:p>
    <w:p w14:paraId="3C432D58">
      <w:pPr>
        <w:spacing w:line="288" w:lineRule="auto"/>
        <w:contextualSpacing/>
        <w:jc w:val="both"/>
        <w:rPr>
          <w:sz w:val="24"/>
          <w:szCs w:val="24"/>
        </w:rPr>
      </w:pPr>
      <w:r>
        <w:rPr>
          <w:sz w:val="24"/>
          <w:szCs w:val="24"/>
        </w:rPr>
        <w:t xml:space="preserve">20.2.2.3 Se a multa aplicada e as indenizações cabíveis forem superiores ao valor de pagamento eventualmente devido pela Administração ao </w:t>
      </w:r>
      <w:r>
        <w:rPr>
          <w:color w:val="000000"/>
          <w:sz w:val="24"/>
          <w:szCs w:val="24"/>
        </w:rPr>
        <w:t>contratado</w:t>
      </w:r>
      <w:r>
        <w:rPr>
          <w:sz w:val="24"/>
          <w:szCs w:val="24"/>
        </w:rPr>
        <w:t>, além da perda desse valor, a diferença será descontada da garantia prestada ou será cobrada judicialmente, na forma do art. 156, § 8º, da Lei nº 14.133/2021, e conforme o procedimento previsto no item 20.13.</w:t>
      </w:r>
    </w:p>
    <w:p w14:paraId="782F59AA">
      <w:pPr>
        <w:spacing w:line="288" w:lineRule="auto"/>
        <w:contextualSpacing/>
        <w:jc w:val="both"/>
        <w:rPr>
          <w:sz w:val="24"/>
          <w:szCs w:val="24"/>
        </w:rPr>
      </w:pPr>
    </w:p>
    <w:p w14:paraId="4B8FC0A6">
      <w:pPr>
        <w:spacing w:line="288" w:lineRule="auto"/>
        <w:contextualSpacing/>
        <w:jc w:val="both"/>
        <w:rPr>
          <w:sz w:val="24"/>
          <w:szCs w:val="24"/>
        </w:rPr>
      </w:pPr>
      <w:r>
        <w:rPr>
          <w:sz w:val="24"/>
          <w:szCs w:val="24"/>
        </w:rPr>
        <w:t>20.2.2.4 A penalidade de multa pode ser aplicada cumulativamente com as demais sanções, na forma do art. 156, § 7º, da Lei nº 14.133/2021.</w:t>
      </w:r>
    </w:p>
    <w:p w14:paraId="64DE7DBD">
      <w:pPr>
        <w:spacing w:line="288" w:lineRule="auto"/>
        <w:contextualSpacing/>
        <w:jc w:val="both"/>
        <w:rPr>
          <w:sz w:val="24"/>
          <w:szCs w:val="24"/>
        </w:rPr>
      </w:pPr>
    </w:p>
    <w:p w14:paraId="468AA8E8">
      <w:pPr>
        <w:spacing w:line="288" w:lineRule="auto"/>
        <w:contextualSpacing/>
        <w:jc w:val="both"/>
        <w:rPr>
          <w:color w:val="000000"/>
          <w:sz w:val="24"/>
          <w:szCs w:val="24"/>
        </w:rPr>
      </w:pPr>
      <w:r>
        <w:rPr>
          <w:sz w:val="24"/>
          <w:szCs w:val="24"/>
        </w:rPr>
        <w:t>20</w:t>
      </w:r>
      <w:r>
        <w:rPr>
          <w:color w:val="000000"/>
          <w:sz w:val="24"/>
          <w:szCs w:val="24"/>
        </w:rPr>
        <w:t xml:space="preserve">.2.3 Impedimento de licitar e contratar, prevista no </w:t>
      </w:r>
      <w:r>
        <w:rPr>
          <w:sz w:val="24"/>
          <w:szCs w:val="24"/>
        </w:rPr>
        <w:t xml:space="preserve">art. 156, III, § 4º, da Lei nº 14.133/2021, </w:t>
      </w:r>
      <w:r>
        <w:rPr>
          <w:color w:val="000000"/>
          <w:sz w:val="24"/>
          <w:szCs w:val="24"/>
        </w:rPr>
        <w:t xml:space="preserve">nos casos relacionados nos subitens </w:t>
      </w:r>
      <w:r>
        <w:rPr>
          <w:sz w:val="24"/>
          <w:szCs w:val="24"/>
        </w:rPr>
        <w:t>20</w:t>
      </w:r>
      <w:r>
        <w:rPr>
          <w:color w:val="000000"/>
          <w:sz w:val="24"/>
          <w:szCs w:val="24"/>
        </w:rPr>
        <w:t>.1.2 a 20.1.7, quando não se justificar a imposição de penalidade mais grave, e impedirá o responsável de licitar ou contratar no âmbito da Administração Pública direta e indireta do Estado, pelo prazo máximo de 3 (três) anos;</w:t>
      </w:r>
    </w:p>
    <w:p w14:paraId="507E9FAD">
      <w:pPr>
        <w:spacing w:line="288" w:lineRule="auto"/>
        <w:contextualSpacing/>
        <w:jc w:val="both"/>
        <w:rPr>
          <w:rFonts w:eastAsia="Arial"/>
          <w:color w:val="000000"/>
          <w:sz w:val="24"/>
          <w:szCs w:val="24"/>
        </w:rPr>
      </w:pPr>
    </w:p>
    <w:p w14:paraId="24C0900F">
      <w:pPr>
        <w:spacing w:line="288" w:lineRule="auto"/>
        <w:contextualSpacing/>
        <w:jc w:val="both"/>
        <w:rPr>
          <w:sz w:val="24"/>
          <w:szCs w:val="24"/>
        </w:rPr>
      </w:pPr>
      <w:r>
        <w:rPr>
          <w:sz w:val="24"/>
          <w:szCs w:val="24"/>
        </w:rPr>
        <w:t>20</w:t>
      </w:r>
      <w:r>
        <w:rPr>
          <w:color w:val="000000"/>
          <w:sz w:val="24"/>
          <w:szCs w:val="24"/>
        </w:rPr>
        <w:t>.2.4 Declaração de inidoneidade para licitar ou contratar, prevista no a</w:t>
      </w:r>
      <w:r>
        <w:rPr>
          <w:rStyle w:val="102"/>
          <w:rFonts w:ascii="Times New Roman" w:hAnsi="Times New Roman" w:cs="Times New Roman"/>
          <w:sz w:val="24"/>
          <w:szCs w:val="24"/>
        </w:rPr>
        <w:t xml:space="preserve">rt. 156, IV, § 5º, da Lei nº 14.133/2021, </w:t>
      </w:r>
      <w:r>
        <w:rPr>
          <w:color w:val="000000"/>
          <w:sz w:val="24"/>
          <w:szCs w:val="24"/>
        </w:rPr>
        <w:t>nos casos relacionados nos subitens 20.1.8 a 20.1.12, bem como nos demais casos que justifiquem a imposição da penalidade mais grave, que impedirá o responsável de licitar ou contratar no âmbito da Administração Pública direta e indireta de todos os entes federativos, pelo prazo mínimo de 3 (três) anos e máximo de 6 (seis) anos</w:t>
      </w:r>
      <w:r>
        <w:rPr>
          <w:sz w:val="24"/>
          <w:szCs w:val="24"/>
        </w:rPr>
        <w:t>.</w:t>
      </w:r>
    </w:p>
    <w:p w14:paraId="0A634B9F">
      <w:pPr>
        <w:spacing w:line="288" w:lineRule="auto"/>
        <w:contextualSpacing/>
        <w:jc w:val="both"/>
        <w:rPr>
          <w:sz w:val="24"/>
          <w:szCs w:val="24"/>
        </w:rPr>
      </w:pPr>
    </w:p>
    <w:p w14:paraId="1E58C0C5">
      <w:pPr>
        <w:spacing w:line="288" w:lineRule="auto"/>
        <w:contextualSpacing/>
        <w:jc w:val="both"/>
        <w:rPr>
          <w:sz w:val="24"/>
          <w:szCs w:val="24"/>
        </w:rPr>
      </w:pPr>
      <w:r>
        <w:rPr>
          <w:sz w:val="24"/>
          <w:szCs w:val="24"/>
        </w:rPr>
        <w:t>20.3 Sem prejuízo da multa administrativa prevista no art. 156, II, § 3º, da Lei nº 14.133/2021, o atraso injustificado no cumprimento das obrigações contratuais sujeitará o  contratado, independente de notificação, na forma do art. 408 do Código Civil, à multa de mora no percentual de 1% (um por cento) por dia útil que exceder o prazo estipulado, a incidir sobre o valor da nota de empenho ou do saldo não atendido,  respeitado o limite de 30% (trinta por cento) do valor do Contrato.</w:t>
      </w:r>
    </w:p>
    <w:p w14:paraId="4DE80D46">
      <w:pPr>
        <w:spacing w:line="288" w:lineRule="auto"/>
        <w:contextualSpacing/>
        <w:jc w:val="both"/>
        <w:rPr>
          <w:sz w:val="24"/>
          <w:szCs w:val="24"/>
        </w:rPr>
      </w:pPr>
    </w:p>
    <w:p w14:paraId="5A5209C0">
      <w:pPr>
        <w:spacing w:line="288" w:lineRule="auto"/>
        <w:contextualSpacing/>
        <w:jc w:val="both"/>
        <w:rPr>
          <w:sz w:val="24"/>
          <w:szCs w:val="24"/>
        </w:rPr>
      </w:pPr>
      <w:r>
        <w:rPr>
          <w:sz w:val="24"/>
          <w:szCs w:val="24"/>
        </w:rPr>
        <w:t>20.3.1 Em caso de atraso injustificado para apresentação, suplementação ou reposição da garantia, a multa de mora será de 0,07% (sete centésimos por cento) sobre o valor total do Contrato por dia útil que exceder o prazo estipulado até o máximo de 2% (dois por cento).</w:t>
      </w:r>
    </w:p>
    <w:p w14:paraId="184CE3FE">
      <w:pPr>
        <w:spacing w:line="288" w:lineRule="auto"/>
        <w:contextualSpacing/>
        <w:jc w:val="both"/>
        <w:rPr>
          <w:sz w:val="24"/>
          <w:szCs w:val="24"/>
        </w:rPr>
      </w:pPr>
    </w:p>
    <w:p w14:paraId="58D34790">
      <w:pPr>
        <w:spacing w:line="288" w:lineRule="auto"/>
        <w:contextualSpacing/>
        <w:jc w:val="both"/>
        <w:rPr>
          <w:sz w:val="24"/>
          <w:szCs w:val="24"/>
        </w:rPr>
      </w:pPr>
      <w:r>
        <w:rPr>
          <w:sz w:val="24"/>
          <w:szCs w:val="24"/>
        </w:rPr>
        <w:t>20.3.2 O atraso superior a 25 (vinte e cinco) dias no cumprimento da obrigação prevista no item 20.3.1 autoriza a Administração a promover a rescisão contratual por descumprimento ou cumprimento irregular de suas cláusulas.</w:t>
      </w:r>
    </w:p>
    <w:p w14:paraId="3C6D334F">
      <w:pPr>
        <w:spacing w:line="288" w:lineRule="auto"/>
        <w:contextualSpacing/>
        <w:jc w:val="both"/>
        <w:rPr>
          <w:sz w:val="24"/>
          <w:szCs w:val="24"/>
        </w:rPr>
      </w:pPr>
    </w:p>
    <w:p w14:paraId="445628ED">
      <w:pPr>
        <w:spacing w:line="288" w:lineRule="auto"/>
        <w:contextualSpacing/>
        <w:jc w:val="both"/>
        <w:rPr>
          <w:sz w:val="24"/>
          <w:szCs w:val="24"/>
        </w:rPr>
      </w:pPr>
      <w:r>
        <w:rPr>
          <w:sz w:val="24"/>
          <w:szCs w:val="24"/>
        </w:rPr>
        <w:t>20.3.3 A aplicação de multa de mora não impedirá que a Administração a converta em compensatória e promova a extinção unilateral do Contrato com a aplicação cumulada de outras sanções previstas no Contrato.</w:t>
      </w:r>
    </w:p>
    <w:p w14:paraId="386CF406">
      <w:pPr>
        <w:spacing w:line="288" w:lineRule="auto"/>
        <w:contextualSpacing/>
        <w:jc w:val="both"/>
        <w:rPr>
          <w:sz w:val="24"/>
          <w:szCs w:val="24"/>
        </w:rPr>
      </w:pPr>
    </w:p>
    <w:p w14:paraId="46DA618C">
      <w:pPr>
        <w:spacing w:line="288" w:lineRule="auto"/>
        <w:contextualSpacing/>
        <w:jc w:val="both"/>
        <w:rPr>
          <w:sz w:val="24"/>
          <w:szCs w:val="24"/>
        </w:rPr>
      </w:pPr>
      <w:r>
        <w:rPr>
          <w:sz w:val="24"/>
          <w:szCs w:val="24"/>
        </w:rPr>
        <w:t>20.4 No caso de inexecução total ou parcial do objeto, que acarrete a rescisão do Contrato, será automaticamente devida multa compensatória no valor de 5(cinco)</w:t>
      </w:r>
      <w:r>
        <w:rPr>
          <w:color w:val="FF0000"/>
          <w:sz w:val="24"/>
          <w:szCs w:val="24"/>
        </w:rPr>
        <w:t xml:space="preserve"> </w:t>
      </w:r>
      <w:r>
        <w:rPr>
          <w:sz w:val="24"/>
          <w:szCs w:val="24"/>
        </w:rPr>
        <w:t>% do valor do Contrato.</w:t>
      </w:r>
    </w:p>
    <w:p w14:paraId="42DD09C2">
      <w:pPr>
        <w:spacing w:line="288" w:lineRule="auto"/>
        <w:contextualSpacing/>
        <w:jc w:val="both"/>
        <w:rPr>
          <w:b/>
          <w:bCs/>
          <w:color w:val="FF0000"/>
          <w:sz w:val="24"/>
          <w:szCs w:val="24"/>
        </w:rPr>
      </w:pPr>
    </w:p>
    <w:p w14:paraId="423599B9">
      <w:pPr>
        <w:spacing w:line="288" w:lineRule="auto"/>
        <w:contextualSpacing/>
        <w:jc w:val="both"/>
        <w:rPr>
          <w:sz w:val="24"/>
          <w:szCs w:val="24"/>
        </w:rPr>
      </w:pPr>
      <w:r>
        <w:rPr>
          <w:sz w:val="24"/>
          <w:szCs w:val="24"/>
        </w:rPr>
        <w:t>20.4.1 A multa compensatória, isoladamente aplicada ou quando somada ao valor da multa moratória convertida, não poderá exceder o limite previsto no art. 412 do Código Civil, ou seja, o valor da obrigação principal.</w:t>
      </w:r>
    </w:p>
    <w:p w14:paraId="1D5717B7">
      <w:pPr>
        <w:spacing w:line="288" w:lineRule="auto"/>
        <w:contextualSpacing/>
        <w:jc w:val="both"/>
        <w:rPr>
          <w:sz w:val="24"/>
          <w:szCs w:val="24"/>
        </w:rPr>
      </w:pPr>
    </w:p>
    <w:p w14:paraId="3135823A">
      <w:pPr>
        <w:spacing w:line="288" w:lineRule="auto"/>
        <w:contextualSpacing/>
        <w:jc w:val="both"/>
        <w:rPr>
          <w:sz w:val="24"/>
          <w:szCs w:val="24"/>
        </w:rPr>
      </w:pPr>
      <w:r>
        <w:rPr>
          <w:sz w:val="24"/>
          <w:szCs w:val="24"/>
        </w:rPr>
        <w:t xml:space="preserve">20.5 Na aplicação das sanções serão considerados os seguintes requisitos, previstos no art. </w:t>
      </w:r>
      <w:r>
        <w:rPr>
          <w:rStyle w:val="102"/>
          <w:rFonts w:ascii="Times New Roman" w:hAnsi="Times New Roman" w:cs="Times New Roman"/>
          <w:sz w:val="24"/>
          <w:szCs w:val="24"/>
        </w:rPr>
        <w:t>156, § 1º, incisos I a V, da Lei nº 14.133/2021</w:t>
      </w:r>
      <w:r>
        <w:rPr>
          <w:sz w:val="24"/>
          <w:szCs w:val="24"/>
        </w:rPr>
        <w:t>:</w:t>
      </w:r>
    </w:p>
    <w:p w14:paraId="6CD1AE21">
      <w:pPr>
        <w:spacing w:line="288" w:lineRule="auto"/>
        <w:contextualSpacing/>
        <w:jc w:val="both"/>
        <w:rPr>
          <w:sz w:val="24"/>
          <w:szCs w:val="24"/>
        </w:rPr>
      </w:pPr>
      <w:r>
        <w:rPr>
          <w:sz w:val="24"/>
          <w:szCs w:val="24"/>
        </w:rPr>
        <w:t>20.5.1 a natureza e a gravidade da infração cometida;</w:t>
      </w:r>
    </w:p>
    <w:p w14:paraId="431217A2">
      <w:pPr>
        <w:spacing w:line="288" w:lineRule="auto"/>
        <w:contextualSpacing/>
        <w:jc w:val="both"/>
        <w:rPr>
          <w:sz w:val="24"/>
          <w:szCs w:val="24"/>
        </w:rPr>
      </w:pPr>
      <w:r>
        <w:rPr>
          <w:sz w:val="24"/>
          <w:szCs w:val="24"/>
        </w:rPr>
        <w:t>20.5.2 as peculiaridades do caso concreto;</w:t>
      </w:r>
    </w:p>
    <w:p w14:paraId="28216E35">
      <w:pPr>
        <w:spacing w:line="288" w:lineRule="auto"/>
        <w:contextualSpacing/>
        <w:jc w:val="both"/>
        <w:rPr>
          <w:sz w:val="24"/>
          <w:szCs w:val="24"/>
        </w:rPr>
      </w:pPr>
      <w:r>
        <w:rPr>
          <w:sz w:val="24"/>
          <w:szCs w:val="24"/>
        </w:rPr>
        <w:t>20.5.3 as circunstâncias agravantes ou atenuantes;</w:t>
      </w:r>
    </w:p>
    <w:p w14:paraId="258D9E41">
      <w:pPr>
        <w:spacing w:line="288" w:lineRule="auto"/>
        <w:contextualSpacing/>
        <w:jc w:val="both"/>
        <w:rPr>
          <w:sz w:val="24"/>
          <w:szCs w:val="24"/>
        </w:rPr>
      </w:pPr>
      <w:r>
        <w:rPr>
          <w:sz w:val="24"/>
          <w:szCs w:val="24"/>
        </w:rPr>
        <w:t>20.5.4 os danos que dela provierem para a Administração Pública;</w:t>
      </w:r>
    </w:p>
    <w:p w14:paraId="44FCE387">
      <w:pPr>
        <w:spacing w:line="288" w:lineRule="auto"/>
        <w:contextualSpacing/>
        <w:jc w:val="both"/>
        <w:rPr>
          <w:sz w:val="24"/>
          <w:szCs w:val="24"/>
        </w:rPr>
      </w:pPr>
      <w:r>
        <w:rPr>
          <w:sz w:val="24"/>
          <w:szCs w:val="24"/>
        </w:rPr>
        <w:t>20.5.5 a implantação ou o aperfeiçoamento de programa de integridade, conforme normas e orientações dos órgãos de controle.</w:t>
      </w:r>
    </w:p>
    <w:p w14:paraId="34B1898F">
      <w:pPr>
        <w:spacing w:line="288" w:lineRule="auto"/>
        <w:contextualSpacing/>
        <w:jc w:val="both"/>
        <w:rPr>
          <w:sz w:val="24"/>
          <w:szCs w:val="24"/>
        </w:rPr>
      </w:pPr>
    </w:p>
    <w:p w14:paraId="19F712C9">
      <w:pPr>
        <w:spacing w:line="288" w:lineRule="auto"/>
        <w:contextualSpacing/>
        <w:jc w:val="both"/>
        <w:rPr>
          <w:sz w:val="24"/>
          <w:szCs w:val="24"/>
        </w:rPr>
      </w:pPr>
      <w:r>
        <w:rPr>
          <w:sz w:val="24"/>
          <w:szCs w:val="24"/>
        </w:rPr>
        <w:t xml:space="preserve">20.6 A imposição das penalidades é de competência exclusiva do órgão ou entidade contratante, sendo competentes para sua aplicação: </w:t>
      </w:r>
    </w:p>
    <w:p w14:paraId="369868B6">
      <w:pPr>
        <w:spacing w:line="288" w:lineRule="auto"/>
        <w:contextualSpacing/>
        <w:jc w:val="both"/>
        <w:rPr>
          <w:sz w:val="24"/>
          <w:szCs w:val="24"/>
        </w:rPr>
      </w:pPr>
      <w:r>
        <w:rPr>
          <w:sz w:val="24"/>
          <w:szCs w:val="24"/>
        </w:rPr>
        <w:t>a) as sanções previstas nos itens 20.2.1, 20.2.2 e 20.2.3 serão impostas pelo Ordenador de Despesa;</w:t>
      </w:r>
    </w:p>
    <w:p w14:paraId="0FF5D0BB">
      <w:pPr>
        <w:spacing w:line="288" w:lineRule="auto"/>
        <w:contextualSpacing/>
        <w:jc w:val="both"/>
        <w:rPr>
          <w:sz w:val="24"/>
          <w:szCs w:val="24"/>
        </w:rPr>
      </w:pPr>
      <w:r>
        <w:rPr>
          <w:sz w:val="24"/>
          <w:szCs w:val="24"/>
        </w:rPr>
        <w:t xml:space="preserve">b) a aplicação da sanção prevista no item 20.2.4, na forma do art. </w:t>
      </w:r>
      <w:r>
        <w:rPr>
          <w:rStyle w:val="102"/>
          <w:rFonts w:ascii="Times New Roman" w:hAnsi="Times New Roman" w:cs="Times New Roman"/>
          <w:sz w:val="24"/>
          <w:szCs w:val="24"/>
        </w:rPr>
        <w:t>156, § 6º, I, da Lei nº 14.133/2021,</w:t>
      </w:r>
      <w:r>
        <w:rPr>
          <w:sz w:val="24"/>
          <w:szCs w:val="24"/>
        </w:rPr>
        <w:t xml:space="preserve"> é de competência exclusiva:</w:t>
      </w:r>
    </w:p>
    <w:p w14:paraId="64555BC4">
      <w:pPr>
        <w:spacing w:line="288" w:lineRule="auto"/>
        <w:contextualSpacing/>
        <w:jc w:val="both"/>
        <w:rPr>
          <w:sz w:val="24"/>
          <w:szCs w:val="24"/>
        </w:rPr>
      </w:pPr>
      <w:r>
        <w:rPr>
          <w:sz w:val="24"/>
          <w:szCs w:val="24"/>
        </w:rPr>
        <w:t>b.1) em se tratando de contratação realizada pela Administração Pública direta, do Secretário de Município; ou</w:t>
      </w:r>
    </w:p>
    <w:p w14:paraId="39AE5322">
      <w:pPr>
        <w:spacing w:line="288" w:lineRule="auto"/>
        <w:contextualSpacing/>
        <w:jc w:val="both"/>
        <w:rPr>
          <w:sz w:val="24"/>
          <w:szCs w:val="24"/>
        </w:rPr>
      </w:pPr>
      <w:r>
        <w:rPr>
          <w:sz w:val="24"/>
          <w:szCs w:val="24"/>
        </w:rPr>
        <w:t>b.2) em se tratando de contratação realizada pela Administração Pública Indireta (fundação e autarquia), da autoridade máxima da entidade.</w:t>
      </w:r>
    </w:p>
    <w:p w14:paraId="6FB80C86">
      <w:pPr>
        <w:spacing w:line="288" w:lineRule="auto"/>
        <w:contextualSpacing/>
        <w:jc w:val="both"/>
        <w:rPr>
          <w:sz w:val="24"/>
          <w:szCs w:val="24"/>
        </w:rPr>
      </w:pPr>
    </w:p>
    <w:p w14:paraId="02C57455">
      <w:pPr>
        <w:spacing w:line="288" w:lineRule="auto"/>
        <w:contextualSpacing/>
        <w:jc w:val="both"/>
        <w:rPr>
          <w:sz w:val="24"/>
          <w:szCs w:val="24"/>
        </w:rPr>
      </w:pPr>
      <w:r>
        <w:rPr>
          <w:sz w:val="24"/>
          <w:szCs w:val="24"/>
        </w:rPr>
        <w:t>20.7 A aplicação de quaisquer das penalidades administrativas realizar-se-á em processo administrativo que assegurará o contraditório e a ampla defesa ao licitante ou contratado, devendo ser observado o procedimento previsto na Lei nº 14.133/2021.</w:t>
      </w:r>
    </w:p>
    <w:p w14:paraId="6C0C99E6">
      <w:pPr>
        <w:spacing w:line="288" w:lineRule="auto"/>
        <w:contextualSpacing/>
        <w:jc w:val="both"/>
        <w:rPr>
          <w:sz w:val="24"/>
          <w:szCs w:val="24"/>
        </w:rPr>
      </w:pPr>
    </w:p>
    <w:p w14:paraId="3A78EF2A">
      <w:pPr>
        <w:spacing w:line="288" w:lineRule="auto"/>
        <w:contextualSpacing/>
        <w:jc w:val="both"/>
        <w:rPr>
          <w:sz w:val="24"/>
          <w:szCs w:val="24"/>
        </w:rPr>
      </w:pPr>
      <w:r>
        <w:rPr>
          <w:sz w:val="24"/>
          <w:szCs w:val="24"/>
        </w:rPr>
        <w:t>20.7.1 A aplicação de sanção será antecedida de intimação do licitante ou contratado, que indicará a infração cometida, os fatos, os dispositivos do Edital e/ou do Contrato infringidos e os fundamentos legais pertinentes, a penalidade que se pretende imputar e o respectivo prazo e/ou valor, se for o caso, assim como o prazo e o local para a apresentação da defesa, com a possibilidade de produção de provas.</w:t>
      </w:r>
    </w:p>
    <w:p w14:paraId="4C7BEA4F">
      <w:pPr>
        <w:spacing w:line="288" w:lineRule="auto"/>
        <w:contextualSpacing/>
        <w:jc w:val="both"/>
        <w:rPr>
          <w:sz w:val="24"/>
          <w:szCs w:val="24"/>
        </w:rPr>
      </w:pPr>
    </w:p>
    <w:p w14:paraId="48D8C08D">
      <w:pPr>
        <w:spacing w:line="288" w:lineRule="auto"/>
        <w:contextualSpacing/>
        <w:jc w:val="both"/>
        <w:rPr>
          <w:sz w:val="24"/>
          <w:szCs w:val="24"/>
        </w:rPr>
      </w:pPr>
      <w:r>
        <w:rPr>
          <w:sz w:val="24"/>
          <w:szCs w:val="24"/>
        </w:rPr>
        <w:t>20.7.2 A defesa prévia do licitante ou contratado será exercida no prazo de:</w:t>
      </w:r>
    </w:p>
    <w:p w14:paraId="3E5FB19F">
      <w:pPr>
        <w:spacing w:line="288" w:lineRule="auto"/>
        <w:contextualSpacing/>
        <w:jc w:val="both"/>
        <w:rPr>
          <w:sz w:val="24"/>
          <w:szCs w:val="24"/>
        </w:rPr>
      </w:pPr>
      <w:r>
        <w:rPr>
          <w:sz w:val="24"/>
          <w:szCs w:val="24"/>
        </w:rPr>
        <w:t>a) 15 (quinze) dias úteis, no caso da aplicação das sanções previstas nos itens 20.2.1 e 20.2.2, contado da data da intimação;</w:t>
      </w:r>
    </w:p>
    <w:p w14:paraId="782DF6C7">
      <w:pPr>
        <w:spacing w:line="288" w:lineRule="auto"/>
        <w:contextualSpacing/>
        <w:jc w:val="both"/>
        <w:rPr>
          <w:color w:val="000000"/>
          <w:sz w:val="24"/>
          <w:szCs w:val="24"/>
        </w:rPr>
      </w:pPr>
      <w:r>
        <w:rPr>
          <w:sz w:val="24"/>
          <w:szCs w:val="24"/>
        </w:rPr>
        <w:t xml:space="preserve">b) 15 (quinze) dias úteis, no caso de aplicação das sanções previstas nos itens 20.2.3 e 20.2.4, </w:t>
      </w:r>
      <w:r>
        <w:rPr>
          <w:color w:val="000000"/>
          <w:sz w:val="24"/>
          <w:szCs w:val="24"/>
        </w:rPr>
        <w:t>contado da data da intimação, observado o procedimento estabelecido no art. 158 da Lei nº 14.133/2021.</w:t>
      </w:r>
    </w:p>
    <w:p w14:paraId="16611E37">
      <w:pPr>
        <w:pStyle w:val="19"/>
        <w:spacing w:line="288" w:lineRule="auto"/>
        <w:contextualSpacing/>
        <w:jc w:val="both"/>
      </w:pPr>
      <w:r>
        <w:t>20.7.3 Será emitida decisão conclusiva sobre a aplicação ou não da sanção, pela autoridade competente, devendo ser apresentada a devida motivação, com a demonstração dos fatos e dos respectivos fundamentos jurídicos.</w:t>
      </w:r>
    </w:p>
    <w:p w14:paraId="26D0E971">
      <w:pPr>
        <w:spacing w:line="288" w:lineRule="auto"/>
        <w:contextualSpacing/>
        <w:jc w:val="both"/>
        <w:rPr>
          <w:sz w:val="24"/>
          <w:szCs w:val="24"/>
        </w:rPr>
      </w:pPr>
      <w:r>
        <w:rPr>
          <w:sz w:val="24"/>
          <w:szCs w:val="24"/>
        </w:rPr>
        <w:t>20.8 A aplicação das sanções previstas no Edital e no Contrato não exclui, em hipótese alguma:</w:t>
      </w:r>
    </w:p>
    <w:p w14:paraId="37985623">
      <w:pPr>
        <w:spacing w:line="288" w:lineRule="auto"/>
        <w:contextualSpacing/>
        <w:jc w:val="both"/>
        <w:rPr>
          <w:sz w:val="24"/>
          <w:szCs w:val="24"/>
        </w:rPr>
      </w:pPr>
      <w:r>
        <w:rPr>
          <w:sz w:val="24"/>
          <w:szCs w:val="24"/>
        </w:rPr>
        <w:t>a) a obrigação de reparação integral do dano causado à Administração Pública, na forma do art. 156, § 9º, da Lei nº 14.133/2021 e do art. 416, parágrafo único, do Código Civil; e</w:t>
      </w:r>
    </w:p>
    <w:p w14:paraId="6A2D5E7E">
      <w:pPr>
        <w:spacing w:line="288" w:lineRule="auto"/>
        <w:contextualSpacing/>
        <w:jc w:val="both"/>
        <w:rPr>
          <w:rFonts w:eastAsia="Arial"/>
          <w:color w:val="000000"/>
          <w:sz w:val="24"/>
          <w:szCs w:val="24"/>
        </w:rPr>
      </w:pPr>
      <w:r>
        <w:rPr>
          <w:rFonts w:eastAsia="Arial"/>
          <w:color w:val="000000"/>
          <w:sz w:val="24"/>
          <w:szCs w:val="24"/>
        </w:rPr>
        <w:t>b) a possibilidade de rescisão administrativa do Contrato, na forma dos arts. 138 e 139 da Lei nº 14.133/2021, garantido o contraditório e a ampla defesa.</w:t>
      </w:r>
    </w:p>
    <w:p w14:paraId="698F098C">
      <w:pPr>
        <w:spacing w:line="288" w:lineRule="auto"/>
        <w:contextualSpacing/>
        <w:jc w:val="both"/>
        <w:rPr>
          <w:rFonts w:eastAsia="Arial"/>
          <w:color w:val="000000"/>
          <w:sz w:val="24"/>
          <w:szCs w:val="24"/>
        </w:rPr>
      </w:pPr>
    </w:p>
    <w:p w14:paraId="2F6E30C7">
      <w:pPr>
        <w:spacing w:line="288" w:lineRule="auto"/>
        <w:contextualSpacing/>
        <w:jc w:val="both"/>
        <w:rPr>
          <w:rFonts w:eastAsia="Arial"/>
          <w:color w:val="000000"/>
          <w:sz w:val="24"/>
          <w:szCs w:val="24"/>
        </w:rPr>
      </w:pPr>
      <w:r>
        <w:rPr>
          <w:rFonts w:eastAsia="Arial"/>
          <w:color w:val="000000"/>
          <w:sz w:val="24"/>
          <w:szCs w:val="24"/>
        </w:rPr>
        <w:t xml:space="preserve">20.8.1 Aplica-se o disposto na alínea a do item </w:t>
      </w:r>
      <w:r>
        <w:rPr>
          <w:sz w:val="24"/>
          <w:szCs w:val="24"/>
        </w:rPr>
        <w:t>20</w:t>
      </w:r>
      <w:r>
        <w:rPr>
          <w:rFonts w:eastAsia="Arial"/>
          <w:color w:val="000000"/>
          <w:sz w:val="24"/>
          <w:szCs w:val="24"/>
        </w:rPr>
        <w:t xml:space="preserve">.8 à multa compensatória, nos termos do parágrafo único do art. 416 do Código Civil. </w:t>
      </w:r>
    </w:p>
    <w:p w14:paraId="315211DE">
      <w:pPr>
        <w:spacing w:line="288" w:lineRule="auto"/>
        <w:contextualSpacing/>
        <w:jc w:val="both"/>
        <w:rPr>
          <w:rFonts w:eastAsia="Arial"/>
          <w:color w:val="000000"/>
          <w:sz w:val="24"/>
          <w:szCs w:val="24"/>
        </w:rPr>
      </w:pPr>
    </w:p>
    <w:p w14:paraId="348447BE">
      <w:pPr>
        <w:spacing w:line="288" w:lineRule="auto"/>
        <w:contextualSpacing/>
        <w:jc w:val="both"/>
        <w:rPr>
          <w:rFonts w:eastAsia="Arial"/>
          <w:color w:val="000000"/>
          <w:sz w:val="24"/>
          <w:szCs w:val="24"/>
        </w:rPr>
      </w:pPr>
      <w:r>
        <w:rPr>
          <w:sz w:val="24"/>
          <w:szCs w:val="24"/>
        </w:rPr>
        <w:t>20</w:t>
      </w:r>
      <w:r>
        <w:rPr>
          <w:rFonts w:eastAsia="Arial"/>
          <w:color w:val="000000"/>
          <w:sz w:val="24"/>
          <w:szCs w:val="24"/>
        </w:rPr>
        <w:t>.9 As sanções de impedimento de licitar e contratar e de declaração de inidoneidade para licitar ou contratar são passíveis de reabilitação, observados os requisitos estabelecidos no art. 163 da Lei nº 14.133/2021.</w:t>
      </w:r>
    </w:p>
    <w:p w14:paraId="51C1128C">
      <w:pPr>
        <w:spacing w:line="288" w:lineRule="auto"/>
        <w:contextualSpacing/>
        <w:jc w:val="both"/>
        <w:rPr>
          <w:rFonts w:eastAsia="Arial"/>
          <w:color w:val="000000"/>
          <w:sz w:val="24"/>
          <w:szCs w:val="24"/>
        </w:rPr>
      </w:pPr>
    </w:p>
    <w:p w14:paraId="76F16C7B">
      <w:pPr>
        <w:spacing w:line="288" w:lineRule="auto"/>
        <w:contextualSpacing/>
        <w:jc w:val="both"/>
        <w:rPr>
          <w:sz w:val="24"/>
          <w:szCs w:val="24"/>
        </w:rPr>
      </w:pPr>
      <w:r>
        <w:rPr>
          <w:sz w:val="24"/>
          <w:szCs w:val="24"/>
        </w:rPr>
        <w:t xml:space="preserve">20.10 Se, durante o processo de aplicação de penalidade, houver indícios de prática de infração administrativa tipificada pela Lei nº 12.846/2013, como ato lesivo à administração pública nacional,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26DBB2E8">
      <w:pPr>
        <w:spacing w:line="288" w:lineRule="auto"/>
        <w:contextualSpacing/>
        <w:jc w:val="both"/>
        <w:rPr>
          <w:sz w:val="24"/>
          <w:szCs w:val="24"/>
        </w:rPr>
      </w:pPr>
    </w:p>
    <w:p w14:paraId="556B2A73">
      <w:pPr>
        <w:spacing w:line="288" w:lineRule="auto"/>
        <w:contextualSpacing/>
        <w:jc w:val="both"/>
        <w:rPr>
          <w:sz w:val="24"/>
          <w:szCs w:val="24"/>
        </w:rPr>
      </w:pPr>
      <w:r>
        <w:rPr>
          <w:sz w:val="24"/>
          <w:szCs w:val="24"/>
        </w:rPr>
        <w:t>20.10.1 A apuração e o julgamento das demais infrações administrativas não consideradas como ato lesivo à Administração Pública nacional, nos termos da Lei nº 12.846/2013, seguirão seu rito normal na unidade administrativa.</w:t>
      </w:r>
    </w:p>
    <w:p w14:paraId="0B485226">
      <w:pPr>
        <w:spacing w:line="288" w:lineRule="auto"/>
        <w:contextualSpacing/>
        <w:jc w:val="both"/>
        <w:rPr>
          <w:sz w:val="24"/>
          <w:szCs w:val="24"/>
        </w:rPr>
      </w:pPr>
    </w:p>
    <w:p w14:paraId="70844382">
      <w:pPr>
        <w:spacing w:line="288" w:lineRule="auto"/>
        <w:contextualSpacing/>
        <w:jc w:val="both"/>
        <w:rPr>
          <w:sz w:val="24"/>
          <w:szCs w:val="24"/>
        </w:rPr>
      </w:pPr>
      <w:r>
        <w:rPr>
          <w:sz w:val="24"/>
          <w:szCs w:val="24"/>
        </w:rPr>
        <w:t xml:space="preserve">20.10.2 O processamento do PAR não interfere no seguimento regular dos processos administrativos específicos para apuração da ocorrência de danos e prejuízos à Administração Pública Estadual resultantes de ato lesivo cometido por pessoa jurídica, com ou sem a participação de agente público. </w:t>
      </w:r>
    </w:p>
    <w:p w14:paraId="1D1ECBEA">
      <w:pPr>
        <w:spacing w:line="288" w:lineRule="auto"/>
        <w:contextualSpacing/>
        <w:jc w:val="both"/>
        <w:rPr>
          <w:sz w:val="24"/>
          <w:szCs w:val="24"/>
        </w:rPr>
      </w:pPr>
    </w:p>
    <w:p w14:paraId="418182E2">
      <w:pPr>
        <w:spacing w:line="288" w:lineRule="auto"/>
        <w:contextualSpacing/>
        <w:jc w:val="both"/>
        <w:rPr>
          <w:sz w:val="24"/>
          <w:szCs w:val="24"/>
        </w:rPr>
      </w:pPr>
      <w:r>
        <w:rPr>
          <w:sz w:val="24"/>
          <w:szCs w:val="24"/>
        </w:rPr>
        <w:t>20.10.2.1 Caso seja possível, a apuração deverá ser promovida em conjunto no PAR.</w:t>
      </w:r>
    </w:p>
    <w:p w14:paraId="2086FEC1">
      <w:pPr>
        <w:spacing w:line="288" w:lineRule="auto"/>
        <w:contextualSpacing/>
        <w:jc w:val="both"/>
        <w:rPr>
          <w:sz w:val="24"/>
          <w:szCs w:val="24"/>
        </w:rPr>
      </w:pPr>
    </w:p>
    <w:p w14:paraId="75E8061B">
      <w:pPr>
        <w:spacing w:line="288" w:lineRule="auto"/>
        <w:contextualSpacing/>
        <w:jc w:val="both"/>
        <w:rPr>
          <w:sz w:val="24"/>
          <w:szCs w:val="24"/>
        </w:rPr>
      </w:pPr>
      <w:r>
        <w:rPr>
          <w:sz w:val="24"/>
          <w:szCs w:val="24"/>
        </w:rPr>
        <w:t>20.11 Na hipótese de abertura de processo administrativo destinado a apuração de fatos e, se for o caso, aplicação de sanções ao licitante ou contratado, em decorrência de conduta vedada no Edital e/ou no Contrato, as comunicações serão efetuadas por meio do endereço de correio eletrônico ("e-mail") cadastrado pela empresa junto ao Comprasnet.</w:t>
      </w:r>
    </w:p>
    <w:p w14:paraId="613F2B66">
      <w:pPr>
        <w:spacing w:line="288" w:lineRule="auto"/>
        <w:contextualSpacing/>
        <w:jc w:val="both"/>
        <w:rPr>
          <w:sz w:val="24"/>
          <w:szCs w:val="24"/>
        </w:rPr>
      </w:pPr>
    </w:p>
    <w:p w14:paraId="4F70CFFB">
      <w:pPr>
        <w:autoSpaceDE w:val="0"/>
        <w:autoSpaceDN w:val="0"/>
        <w:adjustRightInd w:val="0"/>
        <w:spacing w:line="288" w:lineRule="auto"/>
        <w:contextualSpacing/>
        <w:jc w:val="both"/>
        <w:rPr>
          <w:sz w:val="24"/>
          <w:szCs w:val="24"/>
        </w:rPr>
      </w:pPr>
      <w:r>
        <w:rPr>
          <w:sz w:val="24"/>
          <w:szCs w:val="24"/>
        </w:rPr>
        <w:t>20.11.1 O licitante ou contratado deverá manter atualizado o endereço de correio eletrônico ("e-mail") cadastrado junto ao sistema eletrônico de contratações e confirmar o recebimento das mensagens encaminhadas pelo órgão ou entidade contratante, não podendo alegar o desconhecimento do recebimento das comunicações por este meio como justificativa para se eximir das responsabilidades assumidas ou eventuais sanções aplicadas.</w:t>
      </w:r>
    </w:p>
    <w:p w14:paraId="35E7A78D">
      <w:pPr>
        <w:autoSpaceDE w:val="0"/>
        <w:autoSpaceDN w:val="0"/>
        <w:adjustRightInd w:val="0"/>
        <w:spacing w:line="288" w:lineRule="auto"/>
        <w:contextualSpacing/>
        <w:jc w:val="both"/>
        <w:rPr>
          <w:sz w:val="24"/>
          <w:szCs w:val="24"/>
        </w:rPr>
      </w:pPr>
    </w:p>
    <w:p w14:paraId="13139E1F">
      <w:pPr>
        <w:pStyle w:val="53"/>
        <w:spacing w:line="288" w:lineRule="auto"/>
        <w:contextualSpacing/>
        <w:jc w:val="both"/>
        <w:rPr>
          <w:rFonts w:ascii="Times New Roman" w:hAnsi="Times New Roman" w:cs="Times New Roman"/>
        </w:rPr>
      </w:pPr>
      <w:r>
        <w:rPr>
          <w:rFonts w:ascii="Times New Roman" w:hAnsi="Times New Roman" w:cs="Times New Roman"/>
        </w:rPr>
        <w:t>20.12 O contratante deverá remeter para os órgãos competentes o extrato de publicação no Boletim Oficial do Município do ato de aplicação das sanções de impedimento de licitar e contratar e de declaração de inidoneidade para licitar e contratar, de modo a possibilitar a formalização da extensão dos seus efeitos para todos os órgãos e entidades da Administração Pública do Município de Valença.</w:t>
      </w:r>
    </w:p>
    <w:p w14:paraId="72A5D331">
      <w:pPr>
        <w:pStyle w:val="53"/>
        <w:spacing w:line="288" w:lineRule="auto"/>
        <w:contextualSpacing/>
        <w:jc w:val="both"/>
        <w:rPr>
          <w:rFonts w:ascii="Times New Roman" w:hAnsi="Times New Roman" w:cs="Times New Roman"/>
        </w:rPr>
      </w:pPr>
    </w:p>
    <w:p w14:paraId="5EA3E706">
      <w:pPr>
        <w:pStyle w:val="53"/>
        <w:spacing w:line="288" w:lineRule="auto"/>
        <w:contextualSpacing/>
        <w:jc w:val="both"/>
        <w:rPr>
          <w:rFonts w:ascii="Times New Roman" w:hAnsi="Times New Roman" w:cs="Times New Roman"/>
        </w:rPr>
      </w:pPr>
      <w:r>
        <w:rPr>
          <w:rFonts w:ascii="Times New Roman" w:hAnsi="Times New Roman" w:cs="Times New Roman"/>
        </w:rPr>
        <w:t>20.12.1 A aplicação das sanções de impedimento de licitar e contratar e de declaração de inidoneidade para licitar e contratar deverá ser comunicada à Secretaria Municipal de Controle Interno, no prazo de 15 (quinze) dias úteis, contado da sua aplicação, que informará, para fins de publicidade, ao Cadastro Nacional de Empresas Inidôneas e Suspensas – CEIS e ao Cadastro Nacional de Empresas Punidas (Cnep), na forma do art. 161 da Lei nº 14.133/2021.</w:t>
      </w:r>
    </w:p>
    <w:p w14:paraId="50E2C47E">
      <w:pPr>
        <w:pStyle w:val="53"/>
        <w:spacing w:line="288" w:lineRule="auto"/>
        <w:contextualSpacing/>
        <w:jc w:val="both"/>
        <w:rPr>
          <w:rFonts w:ascii="Times New Roman" w:hAnsi="Times New Roman" w:cs="Times New Roman"/>
        </w:rPr>
      </w:pPr>
    </w:p>
    <w:p w14:paraId="26990485">
      <w:pPr>
        <w:spacing w:line="288" w:lineRule="auto"/>
        <w:contextualSpacing/>
        <w:jc w:val="both"/>
        <w:rPr>
          <w:sz w:val="24"/>
          <w:szCs w:val="24"/>
        </w:rPr>
      </w:pPr>
      <w:r>
        <w:rPr>
          <w:sz w:val="24"/>
          <w:szCs w:val="24"/>
        </w:rPr>
        <w:t xml:space="preserve">20.13 Caso não seja efetuado o pagamento da multa aplicada ou o valor seja superior ao </w:t>
      </w:r>
      <w:r>
        <w:rPr>
          <w:color w:val="000000"/>
          <w:sz w:val="24"/>
          <w:szCs w:val="24"/>
        </w:rPr>
        <w:t>do pagamento eventualmente devido pela Administração ao contratado e da garantia prestada</w:t>
      </w:r>
      <w:r>
        <w:rPr>
          <w:sz w:val="24"/>
          <w:szCs w:val="24"/>
        </w:rPr>
        <w:t>, deverá ser emitida nota de débito no valor total ou do saldo, no prazo de 30 (trinta) dias após a decisão final quanto à penalidade.</w:t>
      </w:r>
    </w:p>
    <w:p w14:paraId="574F27A0">
      <w:pPr>
        <w:spacing w:line="288" w:lineRule="auto"/>
        <w:contextualSpacing/>
        <w:jc w:val="both"/>
        <w:rPr>
          <w:sz w:val="24"/>
          <w:szCs w:val="24"/>
        </w:rPr>
      </w:pPr>
    </w:p>
    <w:p w14:paraId="12AFFFA4">
      <w:pPr>
        <w:spacing w:line="288" w:lineRule="auto"/>
        <w:contextualSpacing/>
        <w:jc w:val="both"/>
        <w:rPr>
          <w:sz w:val="24"/>
          <w:szCs w:val="24"/>
        </w:rPr>
      </w:pPr>
      <w:r>
        <w:rPr>
          <w:sz w:val="24"/>
          <w:szCs w:val="24"/>
        </w:rPr>
        <w:t>20.13.1 A nota de débito deverá ser encaminhada à Departamento de Cadastro Controle e Arrecadação para inscrição do débito em dívida ativa e propositura de execução fiscal, na forma do art. 39 da Lei nº 4.320, de 17 de março de 1964.</w:t>
      </w:r>
    </w:p>
    <w:p w14:paraId="04EEFA3E">
      <w:pPr>
        <w:spacing w:line="288" w:lineRule="auto"/>
        <w:contextualSpacing/>
        <w:jc w:val="both"/>
        <w:rPr>
          <w:sz w:val="24"/>
          <w:szCs w:val="24"/>
        </w:rPr>
      </w:pPr>
    </w:p>
    <w:p w14:paraId="7C2C341F">
      <w:pPr>
        <w:spacing w:line="288" w:lineRule="auto"/>
        <w:contextualSpacing/>
        <w:jc w:val="both"/>
        <w:rPr>
          <w:sz w:val="24"/>
          <w:szCs w:val="24"/>
        </w:rPr>
      </w:pPr>
      <w:r>
        <w:rPr>
          <w:sz w:val="24"/>
          <w:szCs w:val="24"/>
        </w:rPr>
        <w:t xml:space="preserve">20.13.2 O procedimento para inscrição do débito em dívida ativa deverá observar o que dispõe a Lei Complementar nº: 279/2024. </w:t>
      </w:r>
    </w:p>
    <w:p w14:paraId="747A4999">
      <w:pPr>
        <w:spacing w:line="288" w:lineRule="auto"/>
        <w:contextualSpacing/>
        <w:jc w:val="both"/>
        <w:rPr>
          <w:sz w:val="24"/>
          <w:szCs w:val="24"/>
        </w:rPr>
      </w:pPr>
    </w:p>
    <w:p w14:paraId="6FA069AB">
      <w:pPr>
        <w:pStyle w:val="81"/>
        <w:spacing w:before="0" w:beforeAutospacing="0" w:after="0" w:afterAutospacing="0" w:line="288" w:lineRule="auto"/>
        <w:contextualSpacing/>
        <w:jc w:val="both"/>
        <w:rPr>
          <w:rFonts w:eastAsia="Calibri"/>
          <w:b/>
          <w:bCs/>
          <w:lang w:eastAsia="en-US"/>
        </w:rPr>
      </w:pPr>
      <w:r>
        <w:rPr>
          <w:rFonts w:eastAsia="Calibri"/>
          <w:b/>
          <w:bCs/>
          <w:lang w:eastAsia="en-US"/>
        </w:rPr>
        <w:t>21. DAS DISPOSIÇÕES GERAIS</w:t>
      </w:r>
    </w:p>
    <w:p w14:paraId="7802BDD4">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21.1 Será divulgada ata da sessão pública no sistema eletrônico.</w:t>
      </w:r>
    </w:p>
    <w:p w14:paraId="1C395FD6">
      <w:pPr>
        <w:pStyle w:val="83"/>
        <w:spacing w:before="288" w:beforeLines="120" w:after="288" w:afterLines="120" w:line="288" w:lineRule="auto"/>
        <w:ind w:left="0" w:firstLine="0"/>
        <w:contextualSpacing/>
        <w:rPr>
          <w:rFonts w:ascii="Times New Roman" w:hAnsi="Times New Roman" w:cs="Times New Roman"/>
          <w:sz w:val="24"/>
          <w:szCs w:val="24"/>
        </w:rPr>
      </w:pPr>
    </w:p>
    <w:p w14:paraId="601E44EB">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446E3B6">
      <w:pPr>
        <w:pStyle w:val="83"/>
        <w:spacing w:before="288" w:beforeLines="120" w:after="288" w:afterLines="120" w:line="288" w:lineRule="auto"/>
        <w:ind w:left="0" w:firstLine="0"/>
        <w:contextualSpacing/>
        <w:rPr>
          <w:rFonts w:ascii="Times New Roman" w:hAnsi="Times New Roman" w:cs="Times New Roman"/>
          <w:sz w:val="24"/>
          <w:szCs w:val="24"/>
        </w:rPr>
      </w:pPr>
    </w:p>
    <w:p w14:paraId="2E9A65A8">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21.3 Todas as referências de tempo no Edital, no aviso e durante a sessão pública observarão o horário de Brasília - DF.</w:t>
      </w:r>
    </w:p>
    <w:p w14:paraId="743A9BC5">
      <w:pPr>
        <w:pStyle w:val="83"/>
        <w:spacing w:before="288" w:beforeLines="120" w:after="288" w:afterLines="120" w:line="288" w:lineRule="auto"/>
        <w:ind w:left="0" w:firstLine="0"/>
        <w:contextualSpacing/>
        <w:rPr>
          <w:rFonts w:ascii="Times New Roman" w:hAnsi="Times New Roman" w:cs="Times New Roman"/>
          <w:sz w:val="24"/>
          <w:szCs w:val="24"/>
        </w:rPr>
      </w:pPr>
    </w:p>
    <w:p w14:paraId="0776C82F">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21.4 A homologação do resultado desta licitação não implicará direito à contratação.</w:t>
      </w:r>
    </w:p>
    <w:p w14:paraId="72EA710A">
      <w:pPr>
        <w:pStyle w:val="83"/>
        <w:spacing w:before="288" w:beforeLines="120" w:after="288" w:afterLines="120" w:line="288" w:lineRule="auto"/>
        <w:ind w:left="0" w:firstLine="0"/>
        <w:contextualSpacing/>
        <w:rPr>
          <w:rFonts w:ascii="Times New Roman" w:hAnsi="Times New Roman" w:cs="Times New Roman"/>
          <w:sz w:val="24"/>
          <w:szCs w:val="24"/>
        </w:rPr>
      </w:pPr>
    </w:p>
    <w:p w14:paraId="26FF6ECA">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21.5 As normas disciplinadoras da licitação serão sempre interpretadas em favor da ampliação da disputa entre os interessados, desde que não comprometam o interesse da Administração, o princípio da isonomia, a finalidade e a segurança da contratação. </w:t>
      </w:r>
    </w:p>
    <w:p w14:paraId="304A136D">
      <w:pPr>
        <w:pStyle w:val="83"/>
        <w:spacing w:before="288" w:beforeLines="120" w:after="288" w:afterLines="120" w:line="288" w:lineRule="auto"/>
        <w:ind w:left="0" w:firstLine="0"/>
        <w:contextualSpacing/>
        <w:rPr>
          <w:rFonts w:ascii="Times New Roman" w:hAnsi="Times New Roman" w:cs="Times New Roman"/>
          <w:sz w:val="24"/>
          <w:szCs w:val="24"/>
        </w:rPr>
      </w:pPr>
    </w:p>
    <w:p w14:paraId="24D8007C">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21.6 Os licitantes assumem todos os custos de preparação e apresentação de suas propostas e a Administração não será, em nenhum caso, responsável por esses custos, independentemente da condução ou do resultado do processo licitatório.</w:t>
      </w:r>
    </w:p>
    <w:p w14:paraId="0D975E41">
      <w:pPr>
        <w:pStyle w:val="83"/>
        <w:spacing w:before="288" w:beforeLines="120" w:after="288" w:afterLines="120" w:line="288" w:lineRule="auto"/>
        <w:ind w:left="0" w:firstLine="0"/>
        <w:contextualSpacing/>
        <w:rPr>
          <w:rFonts w:ascii="Times New Roman" w:hAnsi="Times New Roman" w:cs="Times New Roman"/>
          <w:sz w:val="24"/>
          <w:szCs w:val="24"/>
        </w:rPr>
      </w:pPr>
    </w:p>
    <w:p w14:paraId="0307A8DA">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21.7 Na contagem dos prazos estabelecidos neste Edital e seus Anexos, excluir-se-á o dia do início e incluir-se-á o do vencimento. Só se iniciam e vencem os prazos em dias de expediente na Administração.</w:t>
      </w:r>
    </w:p>
    <w:p w14:paraId="57E56060">
      <w:pPr>
        <w:pStyle w:val="83"/>
        <w:spacing w:before="288" w:beforeLines="120" w:after="288" w:afterLines="120" w:line="288" w:lineRule="auto"/>
        <w:ind w:left="0" w:firstLine="0"/>
        <w:contextualSpacing/>
        <w:rPr>
          <w:rFonts w:ascii="Times New Roman" w:hAnsi="Times New Roman" w:cs="Times New Roman"/>
          <w:sz w:val="24"/>
          <w:szCs w:val="24"/>
        </w:rPr>
      </w:pPr>
    </w:p>
    <w:p w14:paraId="15AF3106">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21.8 O desatendimento de exigências formais não essenciais não importará o afastamento do licitante, desde que seja possível o aproveitamento do ato, observados os princípios da isonomia e do interesse público.</w:t>
      </w:r>
    </w:p>
    <w:p w14:paraId="7CF87E1B">
      <w:pPr>
        <w:pStyle w:val="83"/>
        <w:spacing w:before="288" w:beforeLines="120" w:after="288" w:afterLines="120" w:line="288" w:lineRule="auto"/>
        <w:ind w:left="0" w:firstLine="0"/>
        <w:contextualSpacing/>
        <w:rPr>
          <w:rFonts w:ascii="Times New Roman" w:hAnsi="Times New Roman" w:cs="Times New Roman"/>
          <w:sz w:val="24"/>
          <w:szCs w:val="24"/>
        </w:rPr>
      </w:pPr>
    </w:p>
    <w:p w14:paraId="640AC439">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21.9 Em caso de divergência entre disposições deste Edital e de seus anexos ou demais peças que compõem o processo, prevalecerão as deste Edital.</w:t>
      </w:r>
    </w:p>
    <w:p w14:paraId="0C16A6A3">
      <w:pPr>
        <w:pStyle w:val="83"/>
        <w:spacing w:before="288" w:beforeLines="120" w:after="288" w:afterLines="120" w:line="288" w:lineRule="auto"/>
        <w:ind w:left="0" w:firstLine="0"/>
        <w:contextualSpacing/>
        <w:rPr>
          <w:rFonts w:ascii="Times New Roman" w:hAnsi="Times New Roman" w:cs="Times New Roman"/>
          <w:sz w:val="24"/>
          <w:szCs w:val="24"/>
        </w:rPr>
      </w:pPr>
    </w:p>
    <w:p w14:paraId="5C036C37">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21.10 O Edital e seus anexos </w:t>
      </w:r>
      <w:r>
        <w:rPr>
          <w:rFonts w:ascii="Times New Roman" w:hAnsi="Times New Roman" w:cs="Times New Roman"/>
          <w:color w:val="auto"/>
          <w:sz w:val="24"/>
          <w:szCs w:val="24"/>
        </w:rPr>
        <w:t>estão disponíveis, na íntegra, no Portal Nacional de Contratações Públicas (PNCP) e endereço eletrô</w:t>
      </w:r>
      <w:r>
        <w:rPr>
          <w:rFonts w:ascii="Times New Roman" w:hAnsi="Times New Roman" w:cs="Times New Roman"/>
          <w:sz w:val="24"/>
          <w:szCs w:val="24"/>
        </w:rPr>
        <w:t xml:space="preserve">nico </w:t>
      </w:r>
      <w:r>
        <w:rPr>
          <w:rFonts w:ascii="Times New Roman" w:hAnsi="Times New Roman" w:cs="Times New Roman"/>
          <w:color w:val="auto"/>
          <w:sz w:val="24"/>
          <w:szCs w:val="24"/>
        </w:rPr>
        <w:t>www.valenca.rj.gov.br</w:t>
      </w:r>
      <w:r>
        <w:rPr>
          <w:rFonts w:ascii="Times New Roman" w:hAnsi="Times New Roman" w:cs="Times New Roman"/>
          <w:sz w:val="24"/>
          <w:szCs w:val="24"/>
        </w:rPr>
        <w:t>.</w:t>
      </w:r>
    </w:p>
    <w:p w14:paraId="0A5B723E">
      <w:pPr>
        <w:pStyle w:val="8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Integram este Edital, para todos os fins e efeitos, os seguintes anexos:</w:t>
      </w:r>
    </w:p>
    <w:p w14:paraId="713A7C74">
      <w:pPr>
        <w:pStyle w:val="86"/>
        <w:spacing w:before="288" w:beforeLines="120" w:after="288" w:afterLines="120" w:line="288" w:lineRule="auto"/>
        <w:ind w:left="0" w:firstLine="0"/>
        <w:contextualSpacing/>
        <w:rPr>
          <w:rFonts w:ascii="Times New Roman" w:hAnsi="Times New Roman" w:cs="Times New Roman"/>
          <w:sz w:val="24"/>
          <w:szCs w:val="24"/>
        </w:rPr>
      </w:pPr>
      <w:bookmarkStart w:id="38" w:name="_Hlk154231260"/>
      <w:r>
        <w:rPr>
          <w:rFonts w:ascii="Times New Roman" w:hAnsi="Times New Roman" w:cs="Times New Roman"/>
          <w:sz w:val="24"/>
          <w:szCs w:val="24"/>
        </w:rPr>
        <w:t>Anexo I - Termo de Referência</w:t>
      </w:r>
    </w:p>
    <w:p w14:paraId="6BC5565D">
      <w:pPr>
        <w:pStyle w:val="86"/>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A</w:t>
      </w:r>
      <w:r>
        <w:rPr>
          <w:rFonts w:ascii="Times New Roman" w:hAnsi="Times New Roman" w:cs="Times New Roman"/>
          <w:sz w:val="24"/>
          <w:szCs w:val="24"/>
        </w:rPr>
        <w:t>nexo</w:t>
      </w:r>
      <w:r>
        <w:rPr>
          <w:rFonts w:ascii="Times New Roman" w:hAnsi="Times New Roman" w:cs="Times New Roman"/>
          <w:color w:val="auto"/>
          <w:sz w:val="24"/>
          <w:szCs w:val="24"/>
        </w:rPr>
        <w:t xml:space="preserve"> II - </w:t>
      </w:r>
      <w:r>
        <w:rPr>
          <w:rFonts w:ascii="Times New Roman" w:hAnsi="Times New Roman" w:cs="Times New Roman"/>
          <w:sz w:val="24"/>
          <w:szCs w:val="24"/>
        </w:rPr>
        <w:t>Estudo Técnico Preliminar</w:t>
      </w:r>
    </w:p>
    <w:p w14:paraId="0C8F211A">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Anexo III - Modelo de apresentação da proposta</w:t>
      </w:r>
    </w:p>
    <w:p w14:paraId="69F5AAE6">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Anexo IV - Documentação exigida para Habilitação</w:t>
      </w:r>
    </w:p>
    <w:p w14:paraId="10AA2C33">
      <w:pPr>
        <w:pStyle w:val="86"/>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A</w:t>
      </w:r>
      <w:r>
        <w:rPr>
          <w:rFonts w:ascii="Times New Roman" w:hAnsi="Times New Roman" w:cs="Times New Roman"/>
          <w:sz w:val="24"/>
          <w:szCs w:val="24"/>
        </w:rPr>
        <w:t>nexo</w:t>
      </w:r>
      <w:r>
        <w:rPr>
          <w:rFonts w:ascii="Times New Roman" w:hAnsi="Times New Roman" w:cs="Times New Roman"/>
          <w:color w:val="auto"/>
          <w:sz w:val="24"/>
          <w:szCs w:val="24"/>
        </w:rPr>
        <w:t xml:space="preserve"> V - Orçamento estimado/ Planilha de Custos</w:t>
      </w:r>
    </w:p>
    <w:p w14:paraId="34226646">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Anexo VI - Ata de Registro de Preços</w:t>
      </w:r>
    </w:p>
    <w:p w14:paraId="401943FA">
      <w:pPr>
        <w:pStyle w:val="86"/>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Anexo VIII - Minuta de Termo de Contrato</w:t>
      </w:r>
    </w:p>
    <w:p w14:paraId="09EBC195">
      <w:pPr>
        <w:pStyle w:val="86"/>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sz w:val="24"/>
          <w:szCs w:val="24"/>
        </w:rPr>
        <w:t xml:space="preserve">Anexo IX - </w:t>
      </w:r>
      <w:r>
        <w:rPr>
          <w:rFonts w:ascii="Times New Roman" w:hAnsi="Times New Roman" w:cs="Times New Roman"/>
          <w:color w:val="000000" w:themeColor="text1"/>
          <w:sz w:val="24"/>
          <w:szCs w:val="24"/>
          <w14:textFill>
            <w14:solidFill>
              <w14:schemeClr w14:val="tx1"/>
            </w14:solidFill>
          </w14:textFill>
        </w:rPr>
        <w:t xml:space="preserve">Declarações </w:t>
      </w:r>
      <w:bookmarkEnd w:id="38"/>
    </w:p>
    <w:p w14:paraId="48D118F6">
      <w:pPr>
        <w:pStyle w:val="86"/>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p>
    <w:p w14:paraId="02583247">
      <w:pPr>
        <w:pStyle w:val="86"/>
        <w:spacing w:before="288" w:beforeLines="120" w:after="288" w:afterLines="120" w:line="288" w:lineRule="auto"/>
        <w:ind w:left="0" w:firstLine="0"/>
        <w:contextualSpacing/>
        <w:rPr>
          <w:rFonts w:hint="default" w:ascii="Times New Roman" w:hAnsi="Times New Roman" w:eastAsia="MS Mincho" w:cs="Times New Roman"/>
          <w:color w:val="000000" w:themeColor="text1"/>
          <w:sz w:val="24"/>
          <w:szCs w:val="24"/>
          <w:lang w:val="pt-BR"/>
          <w14:textFill>
            <w14:solidFill>
              <w14:schemeClr w14:val="tx1"/>
            </w14:solidFill>
          </w14:textFill>
        </w:rPr>
      </w:pPr>
      <w:r>
        <w:rPr>
          <w:rFonts w:ascii="Times New Roman" w:hAnsi="Times New Roman" w:eastAsia="MS Mincho" w:cs="Times New Roman"/>
          <w:color w:val="000000" w:themeColor="text1"/>
          <w:sz w:val="24"/>
          <w:szCs w:val="24"/>
          <w14:textFill>
            <w14:solidFill>
              <w14:schemeClr w14:val="tx1"/>
            </w14:solidFill>
          </w14:textFill>
        </w:rPr>
        <w:t xml:space="preserve">                                              Valença, </w:t>
      </w:r>
      <w:r>
        <w:rPr>
          <w:rFonts w:hint="default" w:ascii="Times New Roman" w:hAnsi="Times New Roman" w:eastAsia="MS Mincho" w:cs="Times New Roman"/>
          <w:sz w:val="24"/>
          <w:szCs w:val="24"/>
          <w:lang w:val="pt-BR"/>
        </w:rPr>
        <w:t>18/05/2026</w:t>
      </w:r>
    </w:p>
    <w:p w14:paraId="231193D7">
      <w:pPr>
        <w:spacing w:before="288" w:beforeLines="120" w:after="288" w:afterLines="120" w:line="288" w:lineRule="auto"/>
        <w:contextualSpacing/>
        <w:jc w:val="center"/>
        <w:rPr>
          <w:rFonts w:eastAsia="MS Mincho"/>
          <w:b/>
          <w:color w:val="FF0000"/>
          <w:sz w:val="24"/>
          <w:szCs w:val="24"/>
        </w:rPr>
      </w:pPr>
    </w:p>
    <w:p w14:paraId="24B0E1D0">
      <w:pPr>
        <w:spacing w:before="288" w:beforeLines="120" w:after="288" w:afterLines="120" w:line="288" w:lineRule="auto"/>
        <w:contextualSpacing/>
        <w:jc w:val="center"/>
        <w:rPr>
          <w:rFonts w:eastAsia="MS Mincho"/>
          <w:b/>
          <w:color w:val="000000" w:themeColor="text1"/>
          <w:sz w:val="24"/>
          <w:szCs w:val="24"/>
          <w14:textFill>
            <w14:solidFill>
              <w14:schemeClr w14:val="tx1"/>
            </w14:solidFill>
          </w14:textFill>
        </w:rPr>
      </w:pPr>
      <w:r>
        <w:rPr>
          <w:rFonts w:eastAsia="MS Mincho"/>
          <w:b/>
          <w:color w:val="000000" w:themeColor="text1"/>
          <w:sz w:val="24"/>
          <w:szCs w:val="24"/>
          <w14:textFill>
            <w14:solidFill>
              <w14:schemeClr w14:val="tx1"/>
            </w14:solidFill>
          </w14:textFill>
        </w:rPr>
        <w:t>Secretaria Municipal de Assistência, Esporte e Envelhecimento saudável.</w:t>
      </w:r>
    </w:p>
    <w:p w14:paraId="30D3A422">
      <w:pPr>
        <w:spacing w:before="288" w:beforeLines="120" w:after="288" w:afterLines="120" w:line="288" w:lineRule="auto"/>
        <w:contextualSpacing/>
        <w:jc w:val="center"/>
        <w:rPr>
          <w:rFonts w:eastAsia="MS Mincho" w:asciiTheme="minorHAnsi" w:hAnsiTheme="minorHAnsi" w:cstheme="minorHAnsi"/>
          <w:b/>
          <w:color w:val="000000" w:themeColor="text1"/>
          <w:sz w:val="24"/>
          <w:szCs w:val="24"/>
          <w14:textFill>
            <w14:solidFill>
              <w14:schemeClr w14:val="tx1"/>
            </w14:solidFill>
          </w14:textFill>
        </w:rPr>
      </w:pPr>
    </w:p>
    <w:p w14:paraId="0E365248">
      <w:pPr>
        <w:spacing w:before="288" w:beforeLines="120" w:after="288" w:afterLines="120" w:line="288" w:lineRule="auto"/>
        <w:contextualSpacing/>
        <w:jc w:val="center"/>
        <w:rPr>
          <w:rFonts w:eastAsia="MS Mincho"/>
          <w:b/>
          <w:sz w:val="24"/>
          <w:szCs w:val="24"/>
        </w:rPr>
      </w:pPr>
      <w:r>
        <w:rPr>
          <w:rFonts w:eastAsia="MS Mincho"/>
          <w:b/>
          <w:sz w:val="24"/>
          <w:szCs w:val="24"/>
        </w:rPr>
        <w:t xml:space="preserve">ANEXO I </w:t>
      </w:r>
    </w:p>
    <w:p w14:paraId="12FE2965">
      <w:pPr>
        <w:spacing w:before="288" w:beforeLines="120" w:after="288" w:afterLines="120" w:line="288" w:lineRule="auto"/>
        <w:contextualSpacing/>
        <w:jc w:val="center"/>
        <w:rPr>
          <w:rFonts w:eastAsia="MS Mincho" w:asciiTheme="minorHAnsi" w:hAnsiTheme="minorHAnsi" w:cstheme="minorHAnsi"/>
          <w:b/>
          <w:sz w:val="24"/>
          <w:szCs w:val="24"/>
        </w:rPr>
      </w:pPr>
    </w:p>
    <w:p w14:paraId="1780A58D">
      <w:pPr>
        <w:spacing w:line="368" w:lineRule="auto"/>
        <w:ind w:left="720" w:right="16"/>
        <w:rPr>
          <w:b/>
          <w:sz w:val="24"/>
          <w:szCs w:val="24"/>
          <w:u w:val="single"/>
        </w:rPr>
      </w:pPr>
      <w:r>
        <w:rPr>
          <w:b/>
          <w:sz w:val="24"/>
          <w:szCs w:val="24"/>
        </w:rPr>
        <w:t xml:space="preserve">                                   </w:t>
      </w:r>
      <w:r>
        <w:rPr>
          <w:b/>
          <w:sz w:val="24"/>
          <w:szCs w:val="24"/>
          <w:highlight w:val="yellow"/>
          <w:u w:val="single"/>
        </w:rPr>
        <w:t>TERMO DE REFERÊNCIA</w:t>
      </w:r>
    </w:p>
    <w:p w14:paraId="5B25448F">
      <w:pPr>
        <w:spacing w:line="368" w:lineRule="auto"/>
        <w:ind w:left="720" w:right="16"/>
        <w:rPr>
          <w:b/>
          <w:sz w:val="24"/>
          <w:szCs w:val="24"/>
          <w:u w:val="single"/>
        </w:rPr>
      </w:pPr>
    </w:p>
    <w:p w14:paraId="1A4D7BB4">
      <w:pPr>
        <w:spacing w:before="100" w:beforeAutospacing="1" w:after="100" w:afterAutospacing="1"/>
        <w:rPr>
          <w:color w:val="000000"/>
          <w:sz w:val="27"/>
          <w:szCs w:val="27"/>
        </w:rPr>
      </w:pPr>
      <w:r>
        <w:rPr>
          <w:b/>
          <w:bCs/>
          <w:color w:val="000000"/>
          <w:sz w:val="27"/>
          <w:szCs w:val="27"/>
        </w:rPr>
        <w:t>UNIDADE REQUISITANTE: SECRETARIA MUNICIPAL DE ASSISTÊNCIA ESPORTE E ENVELHECIMENTO SAUDÁVEL</w:t>
      </w:r>
    </w:p>
    <w:p w14:paraId="767B1BB5">
      <w:pPr>
        <w:spacing w:before="244"/>
        <w:rPr>
          <w:color w:val="000000"/>
          <w:sz w:val="27"/>
          <w:szCs w:val="27"/>
        </w:rPr>
      </w:pPr>
      <w:r>
        <w:rPr>
          <w:b/>
          <w:bCs/>
          <w:color w:val="000000"/>
          <w:sz w:val="27"/>
          <w:szCs w:val="27"/>
        </w:rPr>
        <w:t>RESPONSÁVEL PELA EMISSÃO: Jéssica Maria de Castro de Jesus</w:t>
      </w:r>
    </w:p>
    <w:p w14:paraId="471ED0E3">
      <w:pPr>
        <w:spacing w:line="368" w:lineRule="auto"/>
        <w:ind w:left="720" w:right="16"/>
        <w:rPr>
          <w:sz w:val="24"/>
          <w:szCs w:val="24"/>
        </w:rPr>
      </w:pPr>
    </w:p>
    <w:p w14:paraId="736EB04E">
      <w:pPr>
        <w:pStyle w:val="34"/>
        <w:numPr>
          <w:ilvl w:val="0"/>
          <w:numId w:val="5"/>
        </w:numPr>
        <w:spacing w:line="368" w:lineRule="auto"/>
        <w:ind w:right="16"/>
        <w:rPr>
          <w:b/>
          <w:sz w:val="24"/>
          <w:szCs w:val="24"/>
        </w:rPr>
      </w:pPr>
      <w:r>
        <w:rPr>
          <w:b/>
          <w:sz w:val="24"/>
          <w:szCs w:val="24"/>
        </w:rPr>
        <w:t xml:space="preserve">OBJETO </w:t>
      </w:r>
    </w:p>
    <w:p w14:paraId="668C83F6">
      <w:pPr>
        <w:pStyle w:val="34"/>
        <w:spacing w:line="368" w:lineRule="auto"/>
        <w:ind w:left="1080" w:right="16"/>
        <w:rPr>
          <w:b/>
          <w:sz w:val="24"/>
          <w:szCs w:val="24"/>
        </w:rPr>
      </w:pPr>
    </w:p>
    <w:p w14:paraId="68AB71A6">
      <w:pPr>
        <w:spacing w:line="368" w:lineRule="auto"/>
        <w:ind w:left="720" w:right="16"/>
        <w:rPr>
          <w:b/>
          <w:sz w:val="24"/>
          <w:szCs w:val="24"/>
          <w:u w:val="single"/>
        </w:rPr>
      </w:pPr>
      <w:r>
        <w:rPr>
          <w:sz w:val="24"/>
          <w:szCs w:val="24"/>
        </w:rPr>
        <w:t>Registro de preços para futura e eventual aquisição de urnas mortuárias em madeira, destinadas ao atendimento de famílias em situação de vulnerabilidade social, no âmbito da concessão de benefícios eventuais (auxílio funeral), conforme condições, quantidades e exigências estabelecidas neste Termo de Referência.</w:t>
      </w:r>
    </w:p>
    <w:p w14:paraId="0610F716">
      <w:pPr>
        <w:spacing w:before="120" w:after="120"/>
        <w:ind w:left="120" w:right="120"/>
        <w:rPr>
          <w:color w:val="000000"/>
          <w:sz w:val="24"/>
          <w:szCs w:val="24"/>
        </w:rPr>
      </w:pPr>
      <w:r>
        <w:rPr>
          <w:color w:val="000000"/>
          <w:sz w:val="24"/>
          <w:szCs w:val="24"/>
        </w:rPr>
        <w:t> </w:t>
      </w:r>
    </w:p>
    <w:p w14:paraId="220368A7">
      <w:pPr>
        <w:spacing w:before="120" w:after="120"/>
        <w:ind w:left="120" w:right="120"/>
        <w:jc w:val="both"/>
        <w:rPr>
          <w:b/>
          <w:bCs/>
          <w:color w:val="000000"/>
          <w:sz w:val="24"/>
          <w:szCs w:val="24"/>
          <w:shd w:val="clear" w:color="auto" w:fill="FFFF00"/>
        </w:rPr>
      </w:pPr>
      <w:r>
        <w:rPr>
          <w:b/>
          <w:bCs/>
          <w:color w:val="000000"/>
          <w:sz w:val="24"/>
          <w:szCs w:val="24"/>
        </w:rPr>
        <w:t>*</w:t>
      </w:r>
      <w:r>
        <w:rPr>
          <w:b/>
          <w:bCs/>
          <w:color w:val="000000"/>
          <w:sz w:val="24"/>
          <w:szCs w:val="24"/>
          <w:shd w:val="clear" w:color="auto" w:fill="FFFF00"/>
        </w:rPr>
        <w:t>Havendo qualquer discordância entre a descrição e a unidade de medida do CATMAT/CATSERV e a do Edital, prevalecerá a descrição e a unidade de medida constante no Edital. </w:t>
      </w:r>
    </w:p>
    <w:p w14:paraId="6F03A775">
      <w:pPr>
        <w:spacing w:before="120" w:after="120"/>
        <w:ind w:left="120" w:right="120"/>
        <w:jc w:val="both"/>
        <w:rPr>
          <w:color w:val="000000"/>
          <w:sz w:val="24"/>
          <w:szCs w:val="24"/>
        </w:rPr>
      </w:pPr>
    </w:p>
    <w:p w14:paraId="0788C138">
      <w:pPr>
        <w:rPr>
          <w:color w:val="000000"/>
          <w:sz w:val="27"/>
          <w:szCs w:val="27"/>
        </w:rPr>
      </w:pPr>
    </w:p>
    <w:tbl>
      <w:tblPr>
        <w:tblStyle w:val="9"/>
        <w:tblW w:w="9204" w:type="dxa"/>
        <w:tblInd w:w="0" w:type="dxa"/>
        <w:tblLayout w:type="autofit"/>
        <w:tblCellMar>
          <w:top w:w="0" w:type="dxa"/>
          <w:left w:w="0" w:type="dxa"/>
          <w:bottom w:w="0" w:type="dxa"/>
          <w:right w:w="0" w:type="dxa"/>
        </w:tblCellMar>
      </w:tblPr>
      <w:tblGrid>
        <w:gridCol w:w="857"/>
        <w:gridCol w:w="2589"/>
        <w:gridCol w:w="1603"/>
        <w:gridCol w:w="1857"/>
        <w:gridCol w:w="1443"/>
        <w:gridCol w:w="1637"/>
      </w:tblGrid>
      <w:tr w14:paraId="00E41938">
        <w:tblPrEx>
          <w:tblCellMar>
            <w:top w:w="0" w:type="dxa"/>
            <w:left w:w="0" w:type="dxa"/>
            <w:bottom w:w="0" w:type="dxa"/>
            <w:right w:w="0" w:type="dxa"/>
          </w:tblCellMar>
        </w:tblPrEx>
        <w:tc>
          <w:tcPr>
            <w:tcW w:w="73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24694861">
            <w:pPr>
              <w:spacing w:before="203"/>
              <w:rPr>
                <w:sz w:val="24"/>
                <w:szCs w:val="24"/>
              </w:rPr>
            </w:pPr>
            <w:r>
              <w:rPr>
                <w:b/>
                <w:bCs/>
                <w:sz w:val="24"/>
                <w:szCs w:val="24"/>
              </w:rPr>
              <w:t>ITEM</w:t>
            </w:r>
          </w:p>
        </w:tc>
        <w:tc>
          <w:tcPr>
            <w:tcW w:w="2330" w:type="dxa"/>
            <w:tcBorders>
              <w:top w:val="single" w:color="auto" w:sz="8" w:space="0"/>
              <w:left w:val="nil"/>
              <w:bottom w:val="single" w:color="auto" w:sz="8" w:space="0"/>
              <w:right w:val="single" w:color="auto" w:sz="8" w:space="0"/>
            </w:tcBorders>
            <w:tcMar>
              <w:top w:w="0" w:type="dxa"/>
              <w:left w:w="108" w:type="dxa"/>
              <w:bottom w:w="0" w:type="dxa"/>
              <w:right w:w="108" w:type="dxa"/>
            </w:tcMar>
          </w:tcPr>
          <w:p w14:paraId="760A6C34">
            <w:pPr>
              <w:spacing w:before="203"/>
              <w:rPr>
                <w:sz w:val="24"/>
                <w:szCs w:val="24"/>
              </w:rPr>
            </w:pPr>
            <w:r>
              <w:rPr>
                <w:b/>
                <w:bCs/>
                <w:sz w:val="24"/>
                <w:szCs w:val="24"/>
              </w:rPr>
              <w:t>ESPECIFICAÇÃO</w:t>
            </w:r>
          </w:p>
        </w:tc>
        <w:tc>
          <w:tcPr>
            <w:tcW w:w="1452" w:type="dxa"/>
            <w:tcBorders>
              <w:top w:val="single" w:color="auto" w:sz="8" w:space="0"/>
              <w:left w:val="nil"/>
              <w:bottom w:val="single" w:color="auto" w:sz="8" w:space="0"/>
              <w:right w:val="single" w:color="auto" w:sz="8" w:space="0"/>
            </w:tcBorders>
            <w:tcMar>
              <w:top w:w="0" w:type="dxa"/>
              <w:left w:w="108" w:type="dxa"/>
              <w:bottom w:w="0" w:type="dxa"/>
              <w:right w:w="108" w:type="dxa"/>
            </w:tcMar>
          </w:tcPr>
          <w:p w14:paraId="08E60539">
            <w:pPr>
              <w:spacing w:before="203"/>
              <w:jc w:val="center"/>
              <w:rPr>
                <w:sz w:val="24"/>
                <w:szCs w:val="24"/>
              </w:rPr>
            </w:pPr>
            <w:r>
              <w:rPr>
                <w:b/>
                <w:bCs/>
                <w:sz w:val="24"/>
                <w:szCs w:val="24"/>
              </w:rPr>
              <w:t>UNIDADE DE AQUISIÇÃO</w:t>
            </w:r>
          </w:p>
        </w:tc>
        <w:tc>
          <w:tcPr>
            <w:tcW w:w="1678" w:type="dxa"/>
            <w:tcBorders>
              <w:top w:val="single" w:color="auto" w:sz="8" w:space="0"/>
              <w:left w:val="nil"/>
              <w:bottom w:val="single" w:color="auto" w:sz="8" w:space="0"/>
              <w:right w:val="single" w:color="auto" w:sz="8" w:space="0"/>
            </w:tcBorders>
            <w:tcMar>
              <w:top w:w="0" w:type="dxa"/>
              <w:left w:w="108" w:type="dxa"/>
              <w:bottom w:w="0" w:type="dxa"/>
              <w:right w:w="108" w:type="dxa"/>
            </w:tcMar>
          </w:tcPr>
          <w:p w14:paraId="7B6318C5">
            <w:pPr>
              <w:spacing w:before="203"/>
              <w:rPr>
                <w:sz w:val="24"/>
                <w:szCs w:val="24"/>
              </w:rPr>
            </w:pPr>
            <w:r>
              <w:rPr>
                <w:b/>
                <w:bCs/>
                <w:sz w:val="24"/>
                <w:szCs w:val="24"/>
              </w:rPr>
              <w:t>QUANTIDADE</w:t>
            </w:r>
          </w:p>
        </w:tc>
        <w:tc>
          <w:tcPr>
            <w:tcW w:w="1309" w:type="dxa"/>
            <w:tcBorders>
              <w:top w:val="single" w:color="auto" w:sz="8" w:space="0"/>
              <w:left w:val="nil"/>
              <w:bottom w:val="single" w:color="auto" w:sz="8" w:space="0"/>
              <w:right w:val="single" w:color="auto" w:sz="8" w:space="0"/>
            </w:tcBorders>
            <w:tcMar>
              <w:top w:w="0" w:type="dxa"/>
              <w:left w:w="108" w:type="dxa"/>
              <w:bottom w:w="0" w:type="dxa"/>
              <w:right w:w="108" w:type="dxa"/>
            </w:tcMar>
          </w:tcPr>
          <w:p w14:paraId="23BA3F32">
            <w:pPr>
              <w:spacing w:before="203"/>
              <w:rPr>
                <w:sz w:val="24"/>
                <w:szCs w:val="24"/>
              </w:rPr>
            </w:pPr>
            <w:r>
              <w:rPr>
                <w:b/>
                <w:bCs/>
                <w:sz w:val="24"/>
                <w:szCs w:val="24"/>
              </w:rPr>
              <w:t>VALOR UNITÁRIO</w:t>
            </w:r>
          </w:p>
        </w:tc>
        <w:tc>
          <w:tcPr>
            <w:tcW w:w="1697" w:type="dxa"/>
            <w:tcBorders>
              <w:top w:val="single" w:color="auto" w:sz="8" w:space="0"/>
              <w:left w:val="nil"/>
              <w:bottom w:val="single" w:color="auto" w:sz="8" w:space="0"/>
              <w:right w:val="single" w:color="auto" w:sz="8" w:space="0"/>
            </w:tcBorders>
            <w:tcMar>
              <w:top w:w="0" w:type="dxa"/>
              <w:left w:w="108" w:type="dxa"/>
              <w:bottom w:w="0" w:type="dxa"/>
              <w:right w:w="108" w:type="dxa"/>
            </w:tcMar>
          </w:tcPr>
          <w:p w14:paraId="3B171DEE">
            <w:pPr>
              <w:spacing w:before="203"/>
              <w:rPr>
                <w:sz w:val="24"/>
                <w:szCs w:val="24"/>
              </w:rPr>
            </w:pPr>
            <w:r>
              <w:rPr>
                <w:b/>
                <w:bCs/>
                <w:sz w:val="24"/>
                <w:szCs w:val="24"/>
              </w:rPr>
              <w:t>VALOR TOTAL</w:t>
            </w:r>
          </w:p>
        </w:tc>
      </w:tr>
      <w:tr w14:paraId="77453EFD">
        <w:tblPrEx>
          <w:tblCellMar>
            <w:top w:w="0" w:type="dxa"/>
            <w:left w:w="0" w:type="dxa"/>
            <w:bottom w:w="0" w:type="dxa"/>
            <w:right w:w="0" w:type="dxa"/>
          </w:tblCellMar>
        </w:tblPrEx>
        <w:tc>
          <w:tcPr>
            <w:tcW w:w="738" w:type="dxa"/>
            <w:tcBorders>
              <w:top w:val="nil"/>
              <w:left w:val="single" w:color="auto" w:sz="8" w:space="0"/>
              <w:bottom w:val="single" w:color="auto" w:sz="8" w:space="0"/>
              <w:right w:val="single" w:color="auto" w:sz="8" w:space="0"/>
            </w:tcBorders>
            <w:tcMar>
              <w:top w:w="0" w:type="dxa"/>
              <w:left w:w="108" w:type="dxa"/>
              <w:bottom w:w="0" w:type="dxa"/>
              <w:right w:w="108" w:type="dxa"/>
            </w:tcMar>
          </w:tcPr>
          <w:p w14:paraId="49A82015">
            <w:pPr>
              <w:spacing w:before="203"/>
              <w:jc w:val="center"/>
              <w:rPr>
                <w:sz w:val="24"/>
                <w:szCs w:val="24"/>
              </w:rPr>
            </w:pPr>
            <w:r>
              <w:rPr>
                <w:sz w:val="24"/>
                <w:szCs w:val="24"/>
              </w:rPr>
              <w:t>1</w:t>
            </w:r>
          </w:p>
        </w:tc>
        <w:tc>
          <w:tcPr>
            <w:tcW w:w="2330" w:type="dxa"/>
            <w:tcBorders>
              <w:top w:val="nil"/>
              <w:left w:val="nil"/>
              <w:bottom w:val="single" w:color="auto" w:sz="8" w:space="0"/>
              <w:right w:val="single" w:color="auto" w:sz="8" w:space="0"/>
            </w:tcBorders>
            <w:tcMar>
              <w:top w:w="0" w:type="dxa"/>
              <w:left w:w="108" w:type="dxa"/>
              <w:bottom w:w="0" w:type="dxa"/>
              <w:right w:w="108" w:type="dxa"/>
            </w:tcMar>
          </w:tcPr>
          <w:p w14:paraId="51E39BF2">
            <w:pPr>
              <w:spacing w:before="1" w:line="257" w:lineRule="atLeast"/>
              <w:ind w:left="38" w:right="801"/>
              <w:rPr>
                <w:sz w:val="24"/>
                <w:szCs w:val="24"/>
              </w:rPr>
            </w:pPr>
            <w:r>
              <w:rPr>
                <w:b/>
                <w:bCs/>
                <w:sz w:val="24"/>
                <w:szCs w:val="24"/>
              </w:rPr>
              <w:t>URNA MORTUÁRIA – MADEIRA – SEM VISOR.</w:t>
            </w:r>
          </w:p>
          <w:p w14:paraId="23E281CF">
            <w:pPr>
              <w:spacing w:before="1" w:line="257" w:lineRule="atLeast"/>
              <w:ind w:left="38" w:right="14"/>
              <w:rPr>
                <w:sz w:val="24"/>
                <w:szCs w:val="24"/>
              </w:rPr>
            </w:pPr>
            <w:r>
              <w:rPr>
                <w:sz w:val="24"/>
                <w:szCs w:val="24"/>
              </w:rPr>
              <w:t>Modelo: SEXTAVADO – Caixa: confeccionada em madeira de pinus, fundo misto em madeira e chapa dura de alta resistência colado e grampeado, bordada em relevo nas laterais. Tampa: confeccionada em madeira de pinus bordadas nas laterais, com encaixes e guias, com 4 chavetas para seu fechamento.</w:t>
            </w:r>
          </w:p>
          <w:p w14:paraId="439AB572">
            <w:pPr>
              <w:spacing w:before="2" w:line="257" w:lineRule="atLeast"/>
              <w:ind w:left="38" w:right="14"/>
              <w:rPr>
                <w:sz w:val="24"/>
                <w:szCs w:val="24"/>
              </w:rPr>
            </w:pPr>
            <w:r>
              <w:rPr>
                <w:sz w:val="24"/>
                <w:szCs w:val="24"/>
              </w:rPr>
              <w:t>Tampo: confeccionado em chapa dura (fibra de eucalipto)</w:t>
            </w:r>
          </w:p>
          <w:p w14:paraId="212FA8B0">
            <w:pPr>
              <w:spacing w:before="1" w:line="257" w:lineRule="atLeast"/>
              <w:ind w:left="38" w:right="14"/>
              <w:rPr>
                <w:sz w:val="24"/>
                <w:szCs w:val="24"/>
              </w:rPr>
            </w:pPr>
            <w:r>
              <w:rPr>
                <w:sz w:val="24"/>
                <w:szCs w:val="24"/>
              </w:rPr>
              <w:t>decorado artisticamente em silkscreen dourado, SEM VISOR. Alças: seis alça fixas pigmentada forrada internamente em papel branco. Travesseiro solto, acabamento externo na cor cerejeira, mogno ou marfim - Medidas interna aproximadas: 193 x 0,58 x</w:t>
            </w:r>
          </w:p>
          <w:p w14:paraId="3C672C59">
            <w:pPr>
              <w:spacing w:before="203"/>
              <w:rPr>
                <w:sz w:val="24"/>
                <w:szCs w:val="24"/>
              </w:rPr>
            </w:pPr>
            <w:r>
              <w:rPr>
                <w:sz w:val="24"/>
                <w:szCs w:val="24"/>
              </w:rPr>
              <w:t>0,34</w:t>
            </w:r>
          </w:p>
        </w:tc>
        <w:tc>
          <w:tcPr>
            <w:tcW w:w="1452" w:type="dxa"/>
            <w:tcBorders>
              <w:top w:val="nil"/>
              <w:left w:val="nil"/>
              <w:bottom w:val="single" w:color="auto" w:sz="8" w:space="0"/>
              <w:right w:val="single" w:color="auto" w:sz="8" w:space="0"/>
            </w:tcBorders>
            <w:tcMar>
              <w:top w:w="0" w:type="dxa"/>
              <w:left w:w="108" w:type="dxa"/>
              <w:bottom w:w="0" w:type="dxa"/>
              <w:right w:w="108" w:type="dxa"/>
            </w:tcMar>
          </w:tcPr>
          <w:p w14:paraId="5D1D25F3">
            <w:pPr>
              <w:spacing w:before="203"/>
              <w:rPr>
                <w:sz w:val="24"/>
                <w:szCs w:val="24"/>
              </w:rPr>
            </w:pPr>
            <w:r>
              <w:rPr>
                <w:sz w:val="24"/>
                <w:szCs w:val="24"/>
              </w:rPr>
              <w:t>Unidade</w:t>
            </w:r>
          </w:p>
        </w:tc>
        <w:tc>
          <w:tcPr>
            <w:tcW w:w="1678" w:type="dxa"/>
            <w:tcBorders>
              <w:top w:val="nil"/>
              <w:left w:val="nil"/>
              <w:bottom w:val="single" w:color="auto" w:sz="8" w:space="0"/>
              <w:right w:val="single" w:color="auto" w:sz="8" w:space="0"/>
            </w:tcBorders>
            <w:tcMar>
              <w:top w:w="0" w:type="dxa"/>
              <w:left w:w="108" w:type="dxa"/>
              <w:bottom w:w="0" w:type="dxa"/>
              <w:right w:w="108" w:type="dxa"/>
            </w:tcMar>
          </w:tcPr>
          <w:p w14:paraId="4245D064">
            <w:pPr>
              <w:spacing w:before="203"/>
              <w:jc w:val="center"/>
              <w:rPr>
                <w:sz w:val="24"/>
                <w:szCs w:val="24"/>
              </w:rPr>
            </w:pPr>
            <w:r>
              <w:rPr>
                <w:sz w:val="24"/>
                <w:szCs w:val="24"/>
              </w:rPr>
              <w:t>180</w:t>
            </w:r>
          </w:p>
        </w:tc>
        <w:tc>
          <w:tcPr>
            <w:tcW w:w="1309" w:type="dxa"/>
            <w:tcBorders>
              <w:top w:val="nil"/>
              <w:left w:val="nil"/>
              <w:bottom w:val="single" w:color="auto" w:sz="8" w:space="0"/>
              <w:right w:val="single" w:color="auto" w:sz="8" w:space="0"/>
            </w:tcBorders>
            <w:tcMar>
              <w:top w:w="0" w:type="dxa"/>
              <w:left w:w="108" w:type="dxa"/>
              <w:bottom w:w="0" w:type="dxa"/>
              <w:right w:w="108" w:type="dxa"/>
            </w:tcMar>
          </w:tcPr>
          <w:p w14:paraId="0B586280">
            <w:pPr>
              <w:spacing w:before="203"/>
              <w:rPr>
                <w:sz w:val="24"/>
                <w:szCs w:val="24"/>
              </w:rPr>
            </w:pPr>
            <w:r>
              <w:rPr>
                <w:sz w:val="24"/>
                <w:szCs w:val="24"/>
              </w:rPr>
              <w:t>R$ 450,00</w:t>
            </w:r>
          </w:p>
        </w:tc>
        <w:tc>
          <w:tcPr>
            <w:tcW w:w="1697" w:type="dxa"/>
            <w:tcBorders>
              <w:top w:val="nil"/>
              <w:left w:val="nil"/>
              <w:bottom w:val="single" w:color="auto" w:sz="8" w:space="0"/>
              <w:right w:val="single" w:color="auto" w:sz="8" w:space="0"/>
            </w:tcBorders>
            <w:tcMar>
              <w:top w:w="0" w:type="dxa"/>
              <w:left w:w="108" w:type="dxa"/>
              <w:bottom w:w="0" w:type="dxa"/>
              <w:right w:w="108" w:type="dxa"/>
            </w:tcMar>
          </w:tcPr>
          <w:p w14:paraId="58C777A1">
            <w:pPr>
              <w:spacing w:before="203"/>
              <w:rPr>
                <w:sz w:val="24"/>
                <w:szCs w:val="24"/>
              </w:rPr>
            </w:pPr>
            <w:r>
              <w:rPr>
                <w:sz w:val="24"/>
                <w:szCs w:val="24"/>
              </w:rPr>
              <w:t>R$ 81.000,00</w:t>
            </w:r>
          </w:p>
        </w:tc>
      </w:tr>
      <w:tr w14:paraId="08C1A5E2">
        <w:tblPrEx>
          <w:tblCellMar>
            <w:top w:w="0" w:type="dxa"/>
            <w:left w:w="0" w:type="dxa"/>
            <w:bottom w:w="0" w:type="dxa"/>
            <w:right w:w="0" w:type="dxa"/>
          </w:tblCellMar>
        </w:tblPrEx>
        <w:tc>
          <w:tcPr>
            <w:tcW w:w="738" w:type="dxa"/>
            <w:tcBorders>
              <w:top w:val="nil"/>
              <w:left w:val="single" w:color="auto" w:sz="8" w:space="0"/>
              <w:bottom w:val="single" w:color="auto" w:sz="8" w:space="0"/>
              <w:right w:val="single" w:color="auto" w:sz="8" w:space="0"/>
            </w:tcBorders>
            <w:tcMar>
              <w:top w:w="0" w:type="dxa"/>
              <w:left w:w="108" w:type="dxa"/>
              <w:bottom w:w="0" w:type="dxa"/>
              <w:right w:w="108" w:type="dxa"/>
            </w:tcMar>
          </w:tcPr>
          <w:p w14:paraId="368E7881">
            <w:pPr>
              <w:spacing w:before="203"/>
              <w:jc w:val="center"/>
              <w:rPr>
                <w:sz w:val="24"/>
                <w:szCs w:val="24"/>
              </w:rPr>
            </w:pPr>
            <w:r>
              <w:rPr>
                <w:sz w:val="24"/>
                <w:szCs w:val="24"/>
              </w:rPr>
              <w:t>2</w:t>
            </w:r>
          </w:p>
        </w:tc>
        <w:tc>
          <w:tcPr>
            <w:tcW w:w="2330" w:type="dxa"/>
            <w:tcBorders>
              <w:top w:val="nil"/>
              <w:left w:val="nil"/>
              <w:bottom w:val="single" w:color="auto" w:sz="8" w:space="0"/>
              <w:right w:val="single" w:color="auto" w:sz="8" w:space="0"/>
            </w:tcBorders>
            <w:tcMar>
              <w:top w:w="0" w:type="dxa"/>
              <w:left w:w="108" w:type="dxa"/>
              <w:bottom w:w="0" w:type="dxa"/>
              <w:right w:w="108" w:type="dxa"/>
            </w:tcMar>
          </w:tcPr>
          <w:p w14:paraId="12B1CBCD">
            <w:pPr>
              <w:spacing w:before="1"/>
              <w:ind w:left="38"/>
              <w:rPr>
                <w:sz w:val="24"/>
                <w:szCs w:val="24"/>
              </w:rPr>
            </w:pPr>
            <w:r>
              <w:rPr>
                <w:b/>
                <w:bCs/>
                <w:sz w:val="24"/>
                <w:szCs w:val="24"/>
              </w:rPr>
              <w:t>URNA MORTUÁRIA COMPRIDA 2,10 M– MADEIRA</w:t>
            </w:r>
          </w:p>
          <w:p w14:paraId="49E43045">
            <w:pPr>
              <w:spacing w:before="22" w:line="257" w:lineRule="atLeast"/>
              <w:ind w:left="38" w:right="14"/>
              <w:rPr>
                <w:sz w:val="24"/>
                <w:szCs w:val="24"/>
              </w:rPr>
            </w:pPr>
            <w:r>
              <w:rPr>
                <w:sz w:val="24"/>
                <w:szCs w:val="24"/>
              </w:rPr>
              <w:t>Modelo: SEXTAVADO – Caixa: confeccionada em madeira de pinus, fundo misto em madeira e chapa dura de alta resistência colado e grampeado, bordada em relevo nas laterais. Tampa: confeccionada em madeira de pinus bordadas nas laterais, com encaixes e guias, com 4 chavetas para seu fechamento.</w:t>
            </w:r>
          </w:p>
          <w:p w14:paraId="521C94C4">
            <w:pPr>
              <w:spacing w:before="3" w:line="257" w:lineRule="atLeast"/>
              <w:ind w:left="38" w:right="14"/>
              <w:rPr>
                <w:sz w:val="24"/>
                <w:szCs w:val="24"/>
              </w:rPr>
            </w:pPr>
            <w:r>
              <w:rPr>
                <w:sz w:val="24"/>
                <w:szCs w:val="24"/>
              </w:rPr>
              <w:t>Tampo: confeccionado em chapa dura (fibra de eucalipto)</w:t>
            </w:r>
          </w:p>
          <w:p w14:paraId="2D840AE8">
            <w:pPr>
              <w:spacing w:before="203"/>
              <w:rPr>
                <w:sz w:val="24"/>
                <w:szCs w:val="24"/>
              </w:rPr>
            </w:pPr>
            <w:r>
              <w:rPr>
                <w:sz w:val="24"/>
                <w:szCs w:val="24"/>
              </w:rPr>
              <w:t>decorado artisticamente em silkscreen dourado, SEM VISOR. Alças: seis alça fixas pigmentada forrada internamente em papel branco. Travesseiro solto, acabamento externo na cor cerejeira, mogno ou marfim , com verniz - Medidas interna aproximadas: 2,07 x 0,55 x 0,32</w:t>
            </w:r>
          </w:p>
        </w:tc>
        <w:tc>
          <w:tcPr>
            <w:tcW w:w="1452" w:type="dxa"/>
            <w:tcBorders>
              <w:top w:val="nil"/>
              <w:left w:val="nil"/>
              <w:bottom w:val="single" w:color="auto" w:sz="8" w:space="0"/>
              <w:right w:val="single" w:color="auto" w:sz="8" w:space="0"/>
            </w:tcBorders>
            <w:tcMar>
              <w:top w:w="0" w:type="dxa"/>
              <w:left w:w="108" w:type="dxa"/>
              <w:bottom w:w="0" w:type="dxa"/>
              <w:right w:w="108" w:type="dxa"/>
            </w:tcMar>
          </w:tcPr>
          <w:p w14:paraId="3DA328BE">
            <w:pPr>
              <w:spacing w:before="203"/>
              <w:rPr>
                <w:sz w:val="24"/>
                <w:szCs w:val="24"/>
              </w:rPr>
            </w:pPr>
            <w:r>
              <w:rPr>
                <w:sz w:val="24"/>
                <w:szCs w:val="24"/>
              </w:rPr>
              <w:t>Unidade</w:t>
            </w:r>
          </w:p>
        </w:tc>
        <w:tc>
          <w:tcPr>
            <w:tcW w:w="1678" w:type="dxa"/>
            <w:tcBorders>
              <w:top w:val="nil"/>
              <w:left w:val="nil"/>
              <w:bottom w:val="single" w:color="auto" w:sz="8" w:space="0"/>
              <w:right w:val="single" w:color="auto" w:sz="8" w:space="0"/>
            </w:tcBorders>
            <w:tcMar>
              <w:top w:w="0" w:type="dxa"/>
              <w:left w:w="108" w:type="dxa"/>
              <w:bottom w:w="0" w:type="dxa"/>
              <w:right w:w="108" w:type="dxa"/>
            </w:tcMar>
          </w:tcPr>
          <w:p w14:paraId="375EDF49">
            <w:pPr>
              <w:spacing w:before="203"/>
              <w:jc w:val="center"/>
              <w:rPr>
                <w:sz w:val="24"/>
                <w:szCs w:val="24"/>
              </w:rPr>
            </w:pPr>
            <w:r>
              <w:rPr>
                <w:sz w:val="24"/>
                <w:szCs w:val="24"/>
              </w:rPr>
              <w:t>12</w:t>
            </w:r>
          </w:p>
        </w:tc>
        <w:tc>
          <w:tcPr>
            <w:tcW w:w="1309" w:type="dxa"/>
            <w:tcBorders>
              <w:top w:val="nil"/>
              <w:left w:val="nil"/>
              <w:bottom w:val="single" w:color="auto" w:sz="8" w:space="0"/>
              <w:right w:val="single" w:color="auto" w:sz="8" w:space="0"/>
            </w:tcBorders>
            <w:tcMar>
              <w:top w:w="0" w:type="dxa"/>
              <w:left w:w="108" w:type="dxa"/>
              <w:bottom w:w="0" w:type="dxa"/>
              <w:right w:w="108" w:type="dxa"/>
            </w:tcMar>
          </w:tcPr>
          <w:p w14:paraId="4DA8BA54">
            <w:pPr>
              <w:spacing w:before="203"/>
              <w:rPr>
                <w:sz w:val="24"/>
                <w:szCs w:val="24"/>
              </w:rPr>
            </w:pPr>
            <w:r>
              <w:rPr>
                <w:sz w:val="24"/>
                <w:szCs w:val="24"/>
              </w:rPr>
              <w:t>R$ 990,00</w:t>
            </w:r>
          </w:p>
        </w:tc>
        <w:tc>
          <w:tcPr>
            <w:tcW w:w="1697" w:type="dxa"/>
            <w:tcBorders>
              <w:top w:val="nil"/>
              <w:left w:val="nil"/>
              <w:bottom w:val="single" w:color="auto" w:sz="8" w:space="0"/>
              <w:right w:val="single" w:color="auto" w:sz="8" w:space="0"/>
            </w:tcBorders>
            <w:tcMar>
              <w:top w:w="0" w:type="dxa"/>
              <w:left w:w="108" w:type="dxa"/>
              <w:bottom w:w="0" w:type="dxa"/>
              <w:right w:w="108" w:type="dxa"/>
            </w:tcMar>
          </w:tcPr>
          <w:p w14:paraId="5D00F4F1">
            <w:pPr>
              <w:spacing w:before="203"/>
              <w:rPr>
                <w:sz w:val="24"/>
                <w:szCs w:val="24"/>
              </w:rPr>
            </w:pPr>
            <w:r>
              <w:rPr>
                <w:sz w:val="24"/>
                <w:szCs w:val="24"/>
              </w:rPr>
              <w:t>R$ 11.800,00</w:t>
            </w:r>
          </w:p>
        </w:tc>
      </w:tr>
      <w:tr w14:paraId="34FBED39">
        <w:tblPrEx>
          <w:tblCellMar>
            <w:top w:w="0" w:type="dxa"/>
            <w:left w:w="0" w:type="dxa"/>
            <w:bottom w:w="0" w:type="dxa"/>
            <w:right w:w="0" w:type="dxa"/>
          </w:tblCellMar>
        </w:tblPrEx>
        <w:tc>
          <w:tcPr>
            <w:tcW w:w="738" w:type="dxa"/>
            <w:tcBorders>
              <w:top w:val="nil"/>
              <w:left w:val="single" w:color="auto" w:sz="8" w:space="0"/>
              <w:bottom w:val="single" w:color="auto" w:sz="8" w:space="0"/>
              <w:right w:val="single" w:color="auto" w:sz="8" w:space="0"/>
            </w:tcBorders>
            <w:tcMar>
              <w:top w:w="0" w:type="dxa"/>
              <w:left w:w="108" w:type="dxa"/>
              <w:bottom w:w="0" w:type="dxa"/>
              <w:right w:w="108" w:type="dxa"/>
            </w:tcMar>
          </w:tcPr>
          <w:p w14:paraId="08058AE6">
            <w:pPr>
              <w:spacing w:before="203"/>
              <w:jc w:val="center"/>
              <w:rPr>
                <w:sz w:val="24"/>
                <w:szCs w:val="24"/>
              </w:rPr>
            </w:pPr>
            <w:r>
              <w:rPr>
                <w:sz w:val="24"/>
                <w:szCs w:val="24"/>
              </w:rPr>
              <w:t>3</w:t>
            </w:r>
          </w:p>
        </w:tc>
        <w:tc>
          <w:tcPr>
            <w:tcW w:w="2330" w:type="dxa"/>
            <w:tcBorders>
              <w:top w:val="nil"/>
              <w:left w:val="nil"/>
              <w:bottom w:val="single" w:color="auto" w:sz="8" w:space="0"/>
              <w:right w:val="single" w:color="auto" w:sz="8" w:space="0"/>
            </w:tcBorders>
            <w:tcMar>
              <w:top w:w="0" w:type="dxa"/>
              <w:left w:w="108" w:type="dxa"/>
              <w:bottom w:w="0" w:type="dxa"/>
              <w:right w:w="108" w:type="dxa"/>
            </w:tcMar>
          </w:tcPr>
          <w:p w14:paraId="57AE4B15">
            <w:pPr>
              <w:spacing w:before="1"/>
              <w:ind w:left="38"/>
              <w:rPr>
                <w:sz w:val="24"/>
                <w:szCs w:val="24"/>
              </w:rPr>
            </w:pPr>
            <w:r>
              <w:rPr>
                <w:b/>
                <w:bCs/>
                <w:sz w:val="24"/>
                <w:szCs w:val="24"/>
              </w:rPr>
              <w:t>URNA MORTUÁRIA GORDA – MADEIRA</w:t>
            </w:r>
          </w:p>
          <w:p w14:paraId="548340F1">
            <w:pPr>
              <w:spacing w:before="22" w:line="257" w:lineRule="atLeast"/>
              <w:ind w:left="38" w:right="14"/>
              <w:rPr>
                <w:sz w:val="24"/>
                <w:szCs w:val="24"/>
              </w:rPr>
            </w:pPr>
            <w:r>
              <w:rPr>
                <w:sz w:val="24"/>
                <w:szCs w:val="24"/>
              </w:rPr>
              <w:t>Modelo: SEXTAVADO – Caixa: confeccionada em madeira de pinus, fundo misto em madeira e chapa dura de alta resistência colado e grampeado, bordada em relevo nas laterais. Tampa: confeccionada em madeira de pinus bordadas nas laterais, com encaixes e guias, com 4 chavetas para seu fechamento.</w:t>
            </w:r>
          </w:p>
          <w:p w14:paraId="4A5F2EFF">
            <w:pPr>
              <w:spacing w:before="3" w:line="257" w:lineRule="atLeast"/>
              <w:ind w:left="38" w:right="14"/>
              <w:rPr>
                <w:sz w:val="24"/>
                <w:szCs w:val="24"/>
              </w:rPr>
            </w:pPr>
            <w:r>
              <w:rPr>
                <w:sz w:val="24"/>
                <w:szCs w:val="24"/>
              </w:rPr>
              <w:t>Tampo: confeccionado em chapa dura (fibra de eucalipto)</w:t>
            </w:r>
          </w:p>
          <w:p w14:paraId="409AD77C">
            <w:pPr>
              <w:spacing w:line="257" w:lineRule="atLeast"/>
              <w:ind w:left="38" w:right="47"/>
              <w:rPr>
                <w:sz w:val="24"/>
                <w:szCs w:val="24"/>
              </w:rPr>
            </w:pPr>
            <w:r>
              <w:rPr>
                <w:sz w:val="24"/>
                <w:szCs w:val="24"/>
              </w:rPr>
              <w:t>decorado artisticamente em silkscreen dourado, SEM VISOR. Alças fixas pigmentada forrada internamente em papel branco. Travesseiro solto, acabamento externo na cor cerejeira, mogno ou marfim , com verniz - Medidas interna aproximadas: 1,95 X 0,65 X</w:t>
            </w:r>
          </w:p>
          <w:p w14:paraId="0F498AA3">
            <w:pPr>
              <w:spacing w:before="203"/>
              <w:rPr>
                <w:sz w:val="24"/>
                <w:szCs w:val="24"/>
              </w:rPr>
            </w:pPr>
            <w:r>
              <w:rPr>
                <w:sz w:val="24"/>
                <w:szCs w:val="24"/>
              </w:rPr>
              <w:t>0,32</w:t>
            </w:r>
          </w:p>
        </w:tc>
        <w:tc>
          <w:tcPr>
            <w:tcW w:w="1452" w:type="dxa"/>
            <w:tcBorders>
              <w:top w:val="nil"/>
              <w:left w:val="nil"/>
              <w:bottom w:val="single" w:color="auto" w:sz="8" w:space="0"/>
              <w:right w:val="single" w:color="auto" w:sz="8" w:space="0"/>
            </w:tcBorders>
            <w:tcMar>
              <w:top w:w="0" w:type="dxa"/>
              <w:left w:w="108" w:type="dxa"/>
              <w:bottom w:w="0" w:type="dxa"/>
              <w:right w:w="108" w:type="dxa"/>
            </w:tcMar>
          </w:tcPr>
          <w:p w14:paraId="135859D9">
            <w:pPr>
              <w:spacing w:before="203"/>
              <w:rPr>
                <w:sz w:val="24"/>
                <w:szCs w:val="24"/>
              </w:rPr>
            </w:pPr>
            <w:r>
              <w:rPr>
                <w:sz w:val="24"/>
                <w:szCs w:val="24"/>
              </w:rPr>
              <w:t>Unidade</w:t>
            </w:r>
          </w:p>
        </w:tc>
        <w:tc>
          <w:tcPr>
            <w:tcW w:w="1678" w:type="dxa"/>
            <w:tcBorders>
              <w:top w:val="nil"/>
              <w:left w:val="nil"/>
              <w:bottom w:val="single" w:color="auto" w:sz="8" w:space="0"/>
              <w:right w:val="single" w:color="auto" w:sz="8" w:space="0"/>
            </w:tcBorders>
            <w:tcMar>
              <w:top w:w="0" w:type="dxa"/>
              <w:left w:w="108" w:type="dxa"/>
              <w:bottom w:w="0" w:type="dxa"/>
              <w:right w:w="108" w:type="dxa"/>
            </w:tcMar>
          </w:tcPr>
          <w:p w14:paraId="3F7B8A03">
            <w:pPr>
              <w:spacing w:before="203"/>
              <w:jc w:val="center"/>
              <w:rPr>
                <w:sz w:val="24"/>
                <w:szCs w:val="24"/>
              </w:rPr>
            </w:pPr>
            <w:r>
              <w:rPr>
                <w:sz w:val="24"/>
                <w:szCs w:val="24"/>
              </w:rPr>
              <w:t>12</w:t>
            </w:r>
          </w:p>
        </w:tc>
        <w:tc>
          <w:tcPr>
            <w:tcW w:w="1309" w:type="dxa"/>
            <w:tcBorders>
              <w:top w:val="nil"/>
              <w:left w:val="nil"/>
              <w:bottom w:val="single" w:color="auto" w:sz="8" w:space="0"/>
              <w:right w:val="single" w:color="auto" w:sz="8" w:space="0"/>
            </w:tcBorders>
            <w:tcMar>
              <w:top w:w="0" w:type="dxa"/>
              <w:left w:w="108" w:type="dxa"/>
              <w:bottom w:w="0" w:type="dxa"/>
              <w:right w:w="108" w:type="dxa"/>
            </w:tcMar>
          </w:tcPr>
          <w:p w14:paraId="016A6711">
            <w:pPr>
              <w:spacing w:before="203"/>
              <w:rPr>
                <w:sz w:val="24"/>
                <w:szCs w:val="24"/>
              </w:rPr>
            </w:pPr>
            <w:r>
              <w:rPr>
                <w:sz w:val="24"/>
                <w:szCs w:val="24"/>
              </w:rPr>
              <w:t>R$ 945,00</w:t>
            </w:r>
          </w:p>
        </w:tc>
        <w:tc>
          <w:tcPr>
            <w:tcW w:w="1697" w:type="dxa"/>
            <w:tcBorders>
              <w:top w:val="nil"/>
              <w:left w:val="nil"/>
              <w:bottom w:val="single" w:color="auto" w:sz="8" w:space="0"/>
              <w:right w:val="single" w:color="auto" w:sz="8" w:space="0"/>
            </w:tcBorders>
            <w:tcMar>
              <w:top w:w="0" w:type="dxa"/>
              <w:left w:w="108" w:type="dxa"/>
              <w:bottom w:w="0" w:type="dxa"/>
              <w:right w:w="108" w:type="dxa"/>
            </w:tcMar>
          </w:tcPr>
          <w:p w14:paraId="6A009FB6">
            <w:pPr>
              <w:spacing w:before="203"/>
              <w:rPr>
                <w:sz w:val="24"/>
                <w:szCs w:val="24"/>
              </w:rPr>
            </w:pPr>
            <w:r>
              <w:rPr>
                <w:sz w:val="24"/>
                <w:szCs w:val="24"/>
              </w:rPr>
              <w:t>R$ 11.340,00</w:t>
            </w:r>
          </w:p>
        </w:tc>
      </w:tr>
      <w:tr w14:paraId="2828762B">
        <w:tblPrEx>
          <w:tblCellMar>
            <w:top w:w="0" w:type="dxa"/>
            <w:left w:w="0" w:type="dxa"/>
            <w:bottom w:w="0" w:type="dxa"/>
            <w:right w:w="0" w:type="dxa"/>
          </w:tblCellMar>
        </w:tblPrEx>
        <w:tc>
          <w:tcPr>
            <w:tcW w:w="738" w:type="dxa"/>
            <w:tcBorders>
              <w:top w:val="nil"/>
              <w:left w:val="single" w:color="auto" w:sz="8" w:space="0"/>
              <w:bottom w:val="single" w:color="auto" w:sz="8" w:space="0"/>
              <w:right w:val="single" w:color="auto" w:sz="8" w:space="0"/>
            </w:tcBorders>
            <w:tcMar>
              <w:top w:w="0" w:type="dxa"/>
              <w:left w:w="108" w:type="dxa"/>
              <w:bottom w:w="0" w:type="dxa"/>
              <w:right w:w="108" w:type="dxa"/>
            </w:tcMar>
          </w:tcPr>
          <w:p w14:paraId="3FC87C6C">
            <w:pPr>
              <w:spacing w:before="203"/>
              <w:jc w:val="center"/>
              <w:rPr>
                <w:sz w:val="24"/>
                <w:szCs w:val="24"/>
              </w:rPr>
            </w:pPr>
            <w:r>
              <w:rPr>
                <w:sz w:val="24"/>
                <w:szCs w:val="24"/>
              </w:rPr>
              <w:t>4</w:t>
            </w:r>
          </w:p>
        </w:tc>
        <w:tc>
          <w:tcPr>
            <w:tcW w:w="2330" w:type="dxa"/>
            <w:tcBorders>
              <w:top w:val="nil"/>
              <w:left w:val="nil"/>
              <w:bottom w:val="single" w:color="auto" w:sz="8" w:space="0"/>
              <w:right w:val="single" w:color="auto" w:sz="8" w:space="0"/>
            </w:tcBorders>
            <w:tcMar>
              <w:top w:w="0" w:type="dxa"/>
              <w:left w:w="108" w:type="dxa"/>
              <w:bottom w:w="0" w:type="dxa"/>
              <w:right w:w="108" w:type="dxa"/>
            </w:tcMar>
          </w:tcPr>
          <w:p w14:paraId="095A177A">
            <w:pPr>
              <w:spacing w:before="1"/>
              <w:ind w:left="38"/>
              <w:rPr>
                <w:sz w:val="24"/>
                <w:szCs w:val="24"/>
              </w:rPr>
            </w:pPr>
            <w:r>
              <w:rPr>
                <w:b/>
                <w:bCs/>
                <w:sz w:val="24"/>
                <w:szCs w:val="24"/>
              </w:rPr>
              <w:t>URNA INFANTIL 0,60 CM – MADEIRA</w:t>
            </w:r>
          </w:p>
          <w:p w14:paraId="6043476F">
            <w:pPr>
              <w:spacing w:before="22" w:line="257" w:lineRule="atLeast"/>
              <w:ind w:left="38" w:right="14"/>
              <w:rPr>
                <w:sz w:val="24"/>
                <w:szCs w:val="24"/>
              </w:rPr>
            </w:pPr>
            <w:r>
              <w:rPr>
                <w:sz w:val="24"/>
                <w:szCs w:val="24"/>
              </w:rPr>
              <w:t>Modelo: SEXTAVADO , sem visor, fundo chapa de maneira prensada de 6mm, laterais da caixa confeccionada em madeira de pinus e laterais da tampa confeccionadas em madeira e quatro alça fixas em plástico, ou metalizada zincada, quatro chavetas para fechamento da tampa, acabamento interno com material biodegradável branco, com babado de TNT, travesseiro solto, acabamento externo na cor marfim</w:t>
            </w:r>
          </w:p>
          <w:p w14:paraId="10185C4C">
            <w:pPr>
              <w:spacing w:before="3"/>
              <w:ind w:left="38"/>
              <w:rPr>
                <w:sz w:val="24"/>
                <w:szCs w:val="24"/>
              </w:rPr>
            </w:pPr>
            <w:r>
              <w:rPr>
                <w:sz w:val="24"/>
                <w:szCs w:val="24"/>
              </w:rPr>
              <w:t>, ou branco esmalte. Medidas</w:t>
            </w:r>
          </w:p>
          <w:p w14:paraId="11998377">
            <w:pPr>
              <w:spacing w:before="22" w:line="257" w:lineRule="atLeast"/>
              <w:ind w:left="38" w:right="14"/>
              <w:rPr>
                <w:sz w:val="24"/>
                <w:szCs w:val="24"/>
              </w:rPr>
            </w:pPr>
            <w:r>
              <w:rPr>
                <w:sz w:val="24"/>
                <w:szCs w:val="24"/>
              </w:rPr>
              <w:t>Internas: Comprimento 1,94m x largura 0,60cm x altura 0,36cm.</w:t>
            </w:r>
          </w:p>
          <w:p w14:paraId="49551404">
            <w:pPr>
              <w:spacing w:before="203"/>
              <w:rPr>
                <w:sz w:val="24"/>
                <w:szCs w:val="24"/>
              </w:rPr>
            </w:pPr>
            <w:r>
              <w:rPr>
                <w:sz w:val="24"/>
                <w:szCs w:val="24"/>
              </w:rPr>
              <w:t>Externas: Comprimento 2,04m x largura 0,75cm x altura 0,44cm</w:t>
            </w:r>
          </w:p>
        </w:tc>
        <w:tc>
          <w:tcPr>
            <w:tcW w:w="1452" w:type="dxa"/>
            <w:tcBorders>
              <w:top w:val="nil"/>
              <w:left w:val="nil"/>
              <w:bottom w:val="single" w:color="auto" w:sz="8" w:space="0"/>
              <w:right w:val="single" w:color="auto" w:sz="8" w:space="0"/>
            </w:tcBorders>
            <w:tcMar>
              <w:top w:w="0" w:type="dxa"/>
              <w:left w:w="108" w:type="dxa"/>
              <w:bottom w:w="0" w:type="dxa"/>
              <w:right w:w="108" w:type="dxa"/>
            </w:tcMar>
          </w:tcPr>
          <w:p w14:paraId="5FEDC899">
            <w:pPr>
              <w:spacing w:before="203"/>
              <w:rPr>
                <w:sz w:val="24"/>
                <w:szCs w:val="24"/>
              </w:rPr>
            </w:pPr>
            <w:r>
              <w:rPr>
                <w:sz w:val="24"/>
                <w:szCs w:val="24"/>
              </w:rPr>
              <w:t>Unidade</w:t>
            </w:r>
          </w:p>
        </w:tc>
        <w:tc>
          <w:tcPr>
            <w:tcW w:w="1678" w:type="dxa"/>
            <w:tcBorders>
              <w:top w:val="nil"/>
              <w:left w:val="nil"/>
              <w:bottom w:val="single" w:color="auto" w:sz="8" w:space="0"/>
              <w:right w:val="single" w:color="auto" w:sz="8" w:space="0"/>
            </w:tcBorders>
            <w:tcMar>
              <w:top w:w="0" w:type="dxa"/>
              <w:left w:w="108" w:type="dxa"/>
              <w:bottom w:w="0" w:type="dxa"/>
              <w:right w:w="108" w:type="dxa"/>
            </w:tcMar>
          </w:tcPr>
          <w:p w14:paraId="40358C0B">
            <w:pPr>
              <w:spacing w:before="203"/>
              <w:jc w:val="center"/>
              <w:rPr>
                <w:sz w:val="24"/>
                <w:szCs w:val="24"/>
              </w:rPr>
            </w:pPr>
            <w:r>
              <w:rPr>
                <w:sz w:val="24"/>
                <w:szCs w:val="24"/>
              </w:rPr>
              <w:t>70</w:t>
            </w:r>
          </w:p>
        </w:tc>
        <w:tc>
          <w:tcPr>
            <w:tcW w:w="1309" w:type="dxa"/>
            <w:tcBorders>
              <w:top w:val="nil"/>
              <w:left w:val="nil"/>
              <w:bottom w:val="single" w:color="auto" w:sz="8" w:space="0"/>
              <w:right w:val="single" w:color="auto" w:sz="8" w:space="0"/>
            </w:tcBorders>
            <w:tcMar>
              <w:top w:w="0" w:type="dxa"/>
              <w:left w:w="108" w:type="dxa"/>
              <w:bottom w:w="0" w:type="dxa"/>
              <w:right w:w="108" w:type="dxa"/>
            </w:tcMar>
          </w:tcPr>
          <w:p w14:paraId="614A6281">
            <w:pPr>
              <w:spacing w:before="203"/>
              <w:rPr>
                <w:sz w:val="24"/>
                <w:szCs w:val="24"/>
              </w:rPr>
            </w:pPr>
            <w:r>
              <w:rPr>
                <w:sz w:val="24"/>
                <w:szCs w:val="24"/>
              </w:rPr>
              <w:t>R$ 380,00</w:t>
            </w:r>
          </w:p>
        </w:tc>
        <w:tc>
          <w:tcPr>
            <w:tcW w:w="1697" w:type="dxa"/>
            <w:tcBorders>
              <w:top w:val="nil"/>
              <w:left w:val="nil"/>
              <w:bottom w:val="single" w:color="auto" w:sz="8" w:space="0"/>
              <w:right w:val="single" w:color="auto" w:sz="8" w:space="0"/>
            </w:tcBorders>
            <w:tcMar>
              <w:top w:w="0" w:type="dxa"/>
              <w:left w:w="108" w:type="dxa"/>
              <w:bottom w:w="0" w:type="dxa"/>
              <w:right w:w="108" w:type="dxa"/>
            </w:tcMar>
          </w:tcPr>
          <w:p w14:paraId="7DB1C6E7">
            <w:pPr>
              <w:spacing w:before="203"/>
              <w:rPr>
                <w:sz w:val="24"/>
                <w:szCs w:val="24"/>
              </w:rPr>
            </w:pPr>
            <w:r>
              <w:rPr>
                <w:sz w:val="24"/>
                <w:szCs w:val="24"/>
              </w:rPr>
              <w:t>R$ 26.600,00</w:t>
            </w:r>
          </w:p>
        </w:tc>
      </w:tr>
      <w:tr w14:paraId="1358D0E3">
        <w:tblPrEx>
          <w:tblCellMar>
            <w:top w:w="0" w:type="dxa"/>
            <w:left w:w="0" w:type="dxa"/>
            <w:bottom w:w="0" w:type="dxa"/>
            <w:right w:w="0" w:type="dxa"/>
          </w:tblCellMar>
        </w:tblPrEx>
        <w:tc>
          <w:tcPr>
            <w:tcW w:w="738" w:type="dxa"/>
            <w:tcBorders>
              <w:top w:val="nil"/>
              <w:left w:val="single" w:color="auto" w:sz="8" w:space="0"/>
              <w:bottom w:val="single" w:color="auto" w:sz="8" w:space="0"/>
              <w:right w:val="single" w:color="auto" w:sz="8" w:space="0"/>
            </w:tcBorders>
            <w:tcMar>
              <w:top w:w="0" w:type="dxa"/>
              <w:left w:w="108" w:type="dxa"/>
              <w:bottom w:w="0" w:type="dxa"/>
              <w:right w:w="108" w:type="dxa"/>
            </w:tcMar>
          </w:tcPr>
          <w:p w14:paraId="334A18FA">
            <w:pPr>
              <w:spacing w:before="203"/>
              <w:jc w:val="center"/>
              <w:rPr>
                <w:sz w:val="24"/>
                <w:szCs w:val="24"/>
              </w:rPr>
            </w:pPr>
            <w:r>
              <w:rPr>
                <w:sz w:val="24"/>
                <w:szCs w:val="24"/>
              </w:rPr>
              <w:t>5</w:t>
            </w:r>
          </w:p>
        </w:tc>
        <w:tc>
          <w:tcPr>
            <w:tcW w:w="2330" w:type="dxa"/>
            <w:tcBorders>
              <w:top w:val="nil"/>
              <w:left w:val="nil"/>
              <w:bottom w:val="single" w:color="auto" w:sz="8" w:space="0"/>
              <w:right w:val="single" w:color="auto" w:sz="8" w:space="0"/>
            </w:tcBorders>
            <w:tcMar>
              <w:top w:w="0" w:type="dxa"/>
              <w:left w:w="108" w:type="dxa"/>
              <w:bottom w:w="0" w:type="dxa"/>
              <w:right w:w="108" w:type="dxa"/>
            </w:tcMar>
          </w:tcPr>
          <w:p w14:paraId="3CAD01FE">
            <w:pPr>
              <w:spacing w:before="1"/>
              <w:ind w:left="38"/>
              <w:rPr>
                <w:sz w:val="24"/>
                <w:szCs w:val="24"/>
              </w:rPr>
            </w:pPr>
            <w:r>
              <w:rPr>
                <w:b/>
                <w:bCs/>
                <w:sz w:val="24"/>
                <w:szCs w:val="24"/>
              </w:rPr>
              <w:t>URNA INFANTIL 1,40 CM – MADEIRA</w:t>
            </w:r>
          </w:p>
          <w:p w14:paraId="54323893">
            <w:pPr>
              <w:spacing w:before="22" w:line="257" w:lineRule="atLeast"/>
              <w:ind w:left="38" w:right="14"/>
              <w:rPr>
                <w:sz w:val="24"/>
                <w:szCs w:val="24"/>
              </w:rPr>
            </w:pPr>
            <w:r>
              <w:rPr>
                <w:sz w:val="24"/>
                <w:szCs w:val="24"/>
              </w:rPr>
              <w:t>Modelo: SEXTAVADO , sem visor, fundo chapa de maneira prensada de 6mm, laterais da caixa confeccionada em madeira de pinus e laterais da tampa confeccionadas em madeira e quatro alça fixas em plástico, ou metalizada zincada, quatro chavetas para fechamento da tampa, acabamento interno com material biodegradável branco, com babado de TNT, travesseiro solto, acabamento externo na cor marfim</w:t>
            </w:r>
          </w:p>
          <w:p w14:paraId="25B14E4C">
            <w:pPr>
              <w:spacing w:before="3" w:line="257" w:lineRule="atLeast"/>
              <w:ind w:left="38" w:right="62"/>
              <w:rPr>
                <w:sz w:val="24"/>
                <w:szCs w:val="24"/>
              </w:rPr>
            </w:pPr>
            <w:r>
              <w:rPr>
                <w:sz w:val="24"/>
                <w:szCs w:val="24"/>
              </w:rPr>
              <w:t>, ou branco esmalte. Medidas: Internas: Comprimento 1,00m x largura 0,44cm x altura 0,27cm.</w:t>
            </w:r>
          </w:p>
          <w:p w14:paraId="1E158CDB">
            <w:pPr>
              <w:spacing w:before="2"/>
              <w:ind w:left="38"/>
              <w:rPr>
                <w:sz w:val="24"/>
                <w:szCs w:val="24"/>
              </w:rPr>
            </w:pPr>
            <w:r>
              <w:rPr>
                <w:sz w:val="24"/>
                <w:szCs w:val="24"/>
              </w:rPr>
              <w:t>Externas: Comprimento 1,47m x largura 0,49cm x</w:t>
            </w:r>
          </w:p>
          <w:p w14:paraId="3BC97FD5">
            <w:pPr>
              <w:spacing w:before="203"/>
              <w:rPr>
                <w:sz w:val="24"/>
                <w:szCs w:val="24"/>
              </w:rPr>
            </w:pPr>
            <w:r>
              <w:rPr>
                <w:sz w:val="24"/>
                <w:szCs w:val="24"/>
              </w:rPr>
              <w:t>altura 0,31cm.</w:t>
            </w:r>
          </w:p>
        </w:tc>
        <w:tc>
          <w:tcPr>
            <w:tcW w:w="1452" w:type="dxa"/>
            <w:tcBorders>
              <w:top w:val="nil"/>
              <w:left w:val="nil"/>
              <w:bottom w:val="single" w:color="auto" w:sz="8" w:space="0"/>
              <w:right w:val="single" w:color="auto" w:sz="8" w:space="0"/>
            </w:tcBorders>
            <w:tcMar>
              <w:top w:w="0" w:type="dxa"/>
              <w:left w:w="108" w:type="dxa"/>
              <w:bottom w:w="0" w:type="dxa"/>
              <w:right w:w="108" w:type="dxa"/>
            </w:tcMar>
          </w:tcPr>
          <w:p w14:paraId="3C39D2CA">
            <w:pPr>
              <w:spacing w:before="203"/>
              <w:rPr>
                <w:sz w:val="24"/>
                <w:szCs w:val="24"/>
              </w:rPr>
            </w:pPr>
            <w:r>
              <w:rPr>
                <w:sz w:val="24"/>
                <w:szCs w:val="24"/>
              </w:rPr>
              <w:t>Unidade</w:t>
            </w:r>
          </w:p>
        </w:tc>
        <w:tc>
          <w:tcPr>
            <w:tcW w:w="1678" w:type="dxa"/>
            <w:tcBorders>
              <w:top w:val="nil"/>
              <w:left w:val="nil"/>
              <w:bottom w:val="single" w:color="auto" w:sz="8" w:space="0"/>
              <w:right w:val="single" w:color="auto" w:sz="8" w:space="0"/>
            </w:tcBorders>
            <w:tcMar>
              <w:top w:w="0" w:type="dxa"/>
              <w:left w:w="108" w:type="dxa"/>
              <w:bottom w:w="0" w:type="dxa"/>
              <w:right w:w="108" w:type="dxa"/>
            </w:tcMar>
          </w:tcPr>
          <w:p w14:paraId="11586302">
            <w:pPr>
              <w:spacing w:before="203"/>
              <w:jc w:val="center"/>
              <w:rPr>
                <w:sz w:val="24"/>
                <w:szCs w:val="24"/>
              </w:rPr>
            </w:pPr>
            <w:r>
              <w:rPr>
                <w:sz w:val="24"/>
                <w:szCs w:val="24"/>
              </w:rPr>
              <w:t>10</w:t>
            </w:r>
          </w:p>
        </w:tc>
        <w:tc>
          <w:tcPr>
            <w:tcW w:w="1309" w:type="dxa"/>
            <w:tcBorders>
              <w:top w:val="nil"/>
              <w:left w:val="nil"/>
              <w:bottom w:val="single" w:color="auto" w:sz="8" w:space="0"/>
              <w:right w:val="single" w:color="auto" w:sz="8" w:space="0"/>
            </w:tcBorders>
            <w:tcMar>
              <w:top w:w="0" w:type="dxa"/>
              <w:left w:w="108" w:type="dxa"/>
              <w:bottom w:w="0" w:type="dxa"/>
              <w:right w:w="108" w:type="dxa"/>
            </w:tcMar>
          </w:tcPr>
          <w:p w14:paraId="06DAEC1E">
            <w:pPr>
              <w:spacing w:before="203"/>
              <w:rPr>
                <w:sz w:val="24"/>
                <w:szCs w:val="24"/>
              </w:rPr>
            </w:pPr>
            <w:r>
              <w:rPr>
                <w:sz w:val="24"/>
                <w:szCs w:val="24"/>
              </w:rPr>
              <w:t>R$ 500,00</w:t>
            </w:r>
          </w:p>
        </w:tc>
        <w:tc>
          <w:tcPr>
            <w:tcW w:w="1697" w:type="dxa"/>
            <w:tcBorders>
              <w:top w:val="nil"/>
              <w:left w:val="nil"/>
              <w:bottom w:val="single" w:color="auto" w:sz="8" w:space="0"/>
              <w:right w:val="single" w:color="auto" w:sz="8" w:space="0"/>
            </w:tcBorders>
            <w:tcMar>
              <w:top w:w="0" w:type="dxa"/>
              <w:left w:w="108" w:type="dxa"/>
              <w:bottom w:w="0" w:type="dxa"/>
              <w:right w:w="108" w:type="dxa"/>
            </w:tcMar>
          </w:tcPr>
          <w:p w14:paraId="17A0EAB5">
            <w:pPr>
              <w:spacing w:before="203"/>
              <w:rPr>
                <w:sz w:val="24"/>
                <w:szCs w:val="24"/>
              </w:rPr>
            </w:pPr>
            <w:r>
              <w:rPr>
                <w:sz w:val="24"/>
                <w:szCs w:val="24"/>
              </w:rPr>
              <w:t>R$ 5.000,00</w:t>
            </w:r>
          </w:p>
        </w:tc>
      </w:tr>
      <w:tr w14:paraId="10A4698E">
        <w:tblPrEx>
          <w:tblCellMar>
            <w:top w:w="0" w:type="dxa"/>
            <w:left w:w="0" w:type="dxa"/>
            <w:bottom w:w="0" w:type="dxa"/>
            <w:right w:w="0" w:type="dxa"/>
          </w:tblCellMar>
        </w:tblPrEx>
        <w:tc>
          <w:tcPr>
            <w:tcW w:w="738" w:type="dxa"/>
            <w:tcBorders>
              <w:top w:val="nil"/>
              <w:left w:val="single" w:color="auto" w:sz="8" w:space="0"/>
              <w:bottom w:val="single" w:color="auto" w:sz="8" w:space="0"/>
              <w:right w:val="single" w:color="auto" w:sz="8" w:space="0"/>
            </w:tcBorders>
            <w:tcMar>
              <w:top w:w="0" w:type="dxa"/>
              <w:left w:w="108" w:type="dxa"/>
              <w:bottom w:w="0" w:type="dxa"/>
              <w:right w:w="108" w:type="dxa"/>
            </w:tcMar>
          </w:tcPr>
          <w:p w14:paraId="5152519B">
            <w:pPr>
              <w:spacing w:before="203"/>
              <w:jc w:val="center"/>
              <w:rPr>
                <w:sz w:val="24"/>
                <w:szCs w:val="24"/>
              </w:rPr>
            </w:pPr>
            <w:r>
              <w:rPr>
                <w:sz w:val="24"/>
                <w:szCs w:val="24"/>
              </w:rPr>
              <w:t>6</w:t>
            </w:r>
          </w:p>
        </w:tc>
        <w:tc>
          <w:tcPr>
            <w:tcW w:w="2330" w:type="dxa"/>
            <w:tcBorders>
              <w:top w:val="nil"/>
              <w:left w:val="nil"/>
              <w:bottom w:val="single" w:color="auto" w:sz="8" w:space="0"/>
              <w:right w:val="single" w:color="auto" w:sz="8" w:space="0"/>
            </w:tcBorders>
            <w:tcMar>
              <w:top w:w="0" w:type="dxa"/>
              <w:left w:w="108" w:type="dxa"/>
              <w:bottom w:w="0" w:type="dxa"/>
              <w:right w:w="108" w:type="dxa"/>
            </w:tcMar>
          </w:tcPr>
          <w:p w14:paraId="5E11898A">
            <w:pPr>
              <w:spacing w:before="1"/>
              <w:ind w:left="38"/>
              <w:rPr>
                <w:sz w:val="24"/>
                <w:szCs w:val="24"/>
              </w:rPr>
            </w:pPr>
            <w:r>
              <w:rPr>
                <w:b/>
                <w:bCs/>
                <w:sz w:val="24"/>
                <w:szCs w:val="24"/>
              </w:rPr>
              <w:t>URNA INFANTIL 1,60 CM – MADEIRA</w:t>
            </w:r>
          </w:p>
          <w:p w14:paraId="61D651FE">
            <w:pPr>
              <w:spacing w:before="22" w:line="257" w:lineRule="atLeast"/>
              <w:ind w:left="38" w:right="14"/>
              <w:rPr>
                <w:sz w:val="24"/>
                <w:szCs w:val="24"/>
              </w:rPr>
            </w:pPr>
            <w:r>
              <w:rPr>
                <w:sz w:val="24"/>
                <w:szCs w:val="24"/>
              </w:rPr>
              <w:t>Modelo: SEXTAVADO , sem visor, fundo chapa de maneira prensada de 6mm, laterais da caixa confeccionada em madeira de pinus e laterais da tampa confeccionadas em madeira e quatro alça fixas em plástico, ou metalizada zincada, quatro chavetas para fechamento da tampa, acabamento interno com material biodegradável branco, com babado de TNT, travesseiro solto, acabamento externo na cor marfim</w:t>
            </w:r>
          </w:p>
          <w:p w14:paraId="76145576">
            <w:pPr>
              <w:spacing w:before="3" w:line="257" w:lineRule="atLeast"/>
              <w:ind w:left="38" w:right="47"/>
              <w:rPr>
                <w:sz w:val="24"/>
                <w:szCs w:val="24"/>
              </w:rPr>
            </w:pPr>
            <w:r>
              <w:rPr>
                <w:sz w:val="24"/>
                <w:szCs w:val="24"/>
              </w:rPr>
              <w:t>, ou branco esmalte. Medidas - Média: Internas: Comprimento 1,60m x largura 0,48cm x altura 0,27cm.</w:t>
            </w:r>
          </w:p>
          <w:p w14:paraId="051F880E">
            <w:pPr>
              <w:spacing w:before="1"/>
              <w:ind w:left="38"/>
              <w:rPr>
                <w:sz w:val="24"/>
                <w:szCs w:val="24"/>
              </w:rPr>
            </w:pPr>
            <w:r>
              <w:rPr>
                <w:sz w:val="24"/>
                <w:szCs w:val="24"/>
              </w:rPr>
              <w:t>Externas: Comprimento 1,67m x largura 0,54cm x</w:t>
            </w:r>
          </w:p>
          <w:p w14:paraId="25B3420D">
            <w:pPr>
              <w:spacing w:before="203"/>
              <w:rPr>
                <w:sz w:val="24"/>
                <w:szCs w:val="24"/>
              </w:rPr>
            </w:pPr>
            <w:r>
              <w:rPr>
                <w:sz w:val="24"/>
                <w:szCs w:val="24"/>
              </w:rPr>
              <w:t>altura 0,31cm.</w:t>
            </w:r>
          </w:p>
        </w:tc>
        <w:tc>
          <w:tcPr>
            <w:tcW w:w="1452" w:type="dxa"/>
            <w:tcBorders>
              <w:top w:val="nil"/>
              <w:left w:val="nil"/>
              <w:bottom w:val="single" w:color="auto" w:sz="8" w:space="0"/>
              <w:right w:val="single" w:color="auto" w:sz="8" w:space="0"/>
            </w:tcBorders>
            <w:tcMar>
              <w:top w:w="0" w:type="dxa"/>
              <w:left w:w="108" w:type="dxa"/>
              <w:bottom w:w="0" w:type="dxa"/>
              <w:right w:w="108" w:type="dxa"/>
            </w:tcMar>
          </w:tcPr>
          <w:p w14:paraId="68F9B2B4">
            <w:pPr>
              <w:spacing w:before="203"/>
              <w:rPr>
                <w:sz w:val="24"/>
                <w:szCs w:val="24"/>
              </w:rPr>
            </w:pPr>
            <w:r>
              <w:rPr>
                <w:sz w:val="24"/>
                <w:szCs w:val="24"/>
              </w:rPr>
              <w:t>Unidade</w:t>
            </w:r>
          </w:p>
        </w:tc>
        <w:tc>
          <w:tcPr>
            <w:tcW w:w="1678" w:type="dxa"/>
            <w:tcBorders>
              <w:top w:val="nil"/>
              <w:left w:val="nil"/>
              <w:bottom w:val="single" w:color="auto" w:sz="8" w:space="0"/>
              <w:right w:val="single" w:color="auto" w:sz="8" w:space="0"/>
            </w:tcBorders>
            <w:tcMar>
              <w:top w:w="0" w:type="dxa"/>
              <w:left w:w="108" w:type="dxa"/>
              <w:bottom w:w="0" w:type="dxa"/>
              <w:right w:w="108" w:type="dxa"/>
            </w:tcMar>
          </w:tcPr>
          <w:p w14:paraId="4E499641">
            <w:pPr>
              <w:spacing w:before="203"/>
              <w:jc w:val="center"/>
              <w:rPr>
                <w:sz w:val="24"/>
                <w:szCs w:val="24"/>
              </w:rPr>
            </w:pPr>
            <w:r>
              <w:rPr>
                <w:sz w:val="24"/>
                <w:szCs w:val="24"/>
              </w:rPr>
              <w:t>8</w:t>
            </w:r>
          </w:p>
        </w:tc>
        <w:tc>
          <w:tcPr>
            <w:tcW w:w="1309" w:type="dxa"/>
            <w:tcBorders>
              <w:top w:val="nil"/>
              <w:left w:val="nil"/>
              <w:bottom w:val="single" w:color="auto" w:sz="8" w:space="0"/>
              <w:right w:val="single" w:color="auto" w:sz="8" w:space="0"/>
            </w:tcBorders>
            <w:tcMar>
              <w:top w:w="0" w:type="dxa"/>
              <w:left w:w="108" w:type="dxa"/>
              <w:bottom w:w="0" w:type="dxa"/>
              <w:right w:w="108" w:type="dxa"/>
            </w:tcMar>
          </w:tcPr>
          <w:p w14:paraId="781626E8">
            <w:pPr>
              <w:spacing w:before="203"/>
              <w:rPr>
                <w:sz w:val="24"/>
                <w:szCs w:val="24"/>
              </w:rPr>
            </w:pPr>
            <w:r>
              <w:rPr>
                <w:sz w:val="24"/>
                <w:szCs w:val="24"/>
              </w:rPr>
              <w:t>R$ 680,00</w:t>
            </w:r>
          </w:p>
        </w:tc>
        <w:tc>
          <w:tcPr>
            <w:tcW w:w="1697" w:type="dxa"/>
            <w:tcBorders>
              <w:top w:val="nil"/>
              <w:left w:val="nil"/>
              <w:bottom w:val="single" w:color="auto" w:sz="8" w:space="0"/>
              <w:right w:val="single" w:color="auto" w:sz="8" w:space="0"/>
            </w:tcBorders>
            <w:tcMar>
              <w:top w:w="0" w:type="dxa"/>
              <w:left w:w="108" w:type="dxa"/>
              <w:bottom w:w="0" w:type="dxa"/>
              <w:right w:w="108" w:type="dxa"/>
            </w:tcMar>
          </w:tcPr>
          <w:p w14:paraId="04DF96AF">
            <w:pPr>
              <w:spacing w:before="203"/>
              <w:rPr>
                <w:sz w:val="24"/>
                <w:szCs w:val="24"/>
              </w:rPr>
            </w:pPr>
            <w:r>
              <w:rPr>
                <w:sz w:val="24"/>
                <w:szCs w:val="24"/>
              </w:rPr>
              <w:t>R$ 5.440,00</w:t>
            </w:r>
          </w:p>
        </w:tc>
      </w:tr>
      <w:tr w14:paraId="47A77611">
        <w:tblPrEx>
          <w:tblCellMar>
            <w:top w:w="0" w:type="dxa"/>
            <w:left w:w="0" w:type="dxa"/>
            <w:bottom w:w="0" w:type="dxa"/>
            <w:right w:w="0" w:type="dxa"/>
          </w:tblCellMar>
        </w:tblPrEx>
        <w:tc>
          <w:tcPr>
            <w:tcW w:w="738" w:type="dxa"/>
            <w:tcBorders>
              <w:top w:val="nil"/>
              <w:left w:val="single" w:color="auto" w:sz="8" w:space="0"/>
              <w:bottom w:val="single" w:color="auto" w:sz="8" w:space="0"/>
              <w:right w:val="single" w:color="auto" w:sz="8" w:space="0"/>
            </w:tcBorders>
            <w:tcMar>
              <w:top w:w="0" w:type="dxa"/>
              <w:left w:w="108" w:type="dxa"/>
              <w:bottom w:w="0" w:type="dxa"/>
              <w:right w:w="108" w:type="dxa"/>
            </w:tcMar>
          </w:tcPr>
          <w:p w14:paraId="0E7225FC">
            <w:pPr>
              <w:spacing w:before="203"/>
              <w:jc w:val="center"/>
              <w:rPr>
                <w:sz w:val="24"/>
                <w:szCs w:val="24"/>
              </w:rPr>
            </w:pPr>
            <w:r>
              <w:rPr>
                <w:sz w:val="24"/>
                <w:szCs w:val="24"/>
              </w:rPr>
              <w:t>7</w:t>
            </w:r>
          </w:p>
        </w:tc>
        <w:tc>
          <w:tcPr>
            <w:tcW w:w="2330" w:type="dxa"/>
            <w:tcBorders>
              <w:top w:val="nil"/>
              <w:left w:val="nil"/>
              <w:bottom w:val="single" w:color="auto" w:sz="8" w:space="0"/>
              <w:right w:val="single" w:color="auto" w:sz="8" w:space="0"/>
            </w:tcBorders>
            <w:tcMar>
              <w:top w:w="0" w:type="dxa"/>
              <w:left w:w="108" w:type="dxa"/>
              <w:bottom w:w="0" w:type="dxa"/>
              <w:right w:w="108" w:type="dxa"/>
            </w:tcMar>
          </w:tcPr>
          <w:p w14:paraId="4C27ED44">
            <w:pPr>
              <w:spacing w:before="2"/>
              <w:ind w:left="38"/>
              <w:rPr>
                <w:sz w:val="24"/>
                <w:szCs w:val="24"/>
              </w:rPr>
            </w:pPr>
            <w:r>
              <w:rPr>
                <w:b/>
                <w:bCs/>
                <w:sz w:val="24"/>
                <w:szCs w:val="24"/>
              </w:rPr>
              <w:t>URNA MORTUÁRIA EXTRA GORDA– MADEIRA</w:t>
            </w:r>
          </w:p>
          <w:p w14:paraId="32C636CD">
            <w:pPr>
              <w:spacing w:before="22" w:line="257" w:lineRule="atLeast"/>
              <w:ind w:left="38" w:right="14"/>
              <w:rPr>
                <w:sz w:val="24"/>
                <w:szCs w:val="24"/>
              </w:rPr>
            </w:pPr>
            <w:r>
              <w:rPr>
                <w:sz w:val="24"/>
                <w:szCs w:val="24"/>
              </w:rPr>
              <w:t>Modelo: SEXTAVADO – Caixa: confeccionada em madeira de pinus, fundo misto em madeira e chapa dura de alta resistência colado e grampeado, bordada em relevo nas laterais. Tampa: confeccionada em madeira de pinus bordadas nas laterais, com encaixes e guias, com 4 chavetas para seu fechamento.</w:t>
            </w:r>
          </w:p>
          <w:p w14:paraId="79311BEE">
            <w:pPr>
              <w:spacing w:before="2" w:line="257" w:lineRule="atLeast"/>
              <w:ind w:left="38" w:right="14"/>
              <w:rPr>
                <w:sz w:val="24"/>
                <w:szCs w:val="24"/>
              </w:rPr>
            </w:pPr>
            <w:r>
              <w:rPr>
                <w:sz w:val="24"/>
                <w:szCs w:val="24"/>
              </w:rPr>
              <w:t>Tampo: confeccionado em chapa dura (fibra de eucalipto)</w:t>
            </w:r>
          </w:p>
          <w:p w14:paraId="6C0961E9">
            <w:pPr>
              <w:spacing w:line="257" w:lineRule="atLeast"/>
              <w:ind w:left="38" w:right="14"/>
              <w:rPr>
                <w:sz w:val="24"/>
                <w:szCs w:val="24"/>
              </w:rPr>
            </w:pPr>
            <w:r>
              <w:rPr>
                <w:sz w:val="24"/>
                <w:szCs w:val="24"/>
              </w:rPr>
              <w:t>decorado artisticamente em silkscreen dourado, SEM VISOR. Alças fixas pigmentada forrada internamente em papel branco. Travesseiro solto, acabamento externo na cor cerejeira, mogno ou marfim com verniz</w:t>
            </w:r>
          </w:p>
          <w:p w14:paraId="3EFE0994">
            <w:pPr>
              <w:spacing w:before="203"/>
              <w:rPr>
                <w:sz w:val="24"/>
                <w:szCs w:val="24"/>
              </w:rPr>
            </w:pPr>
            <w:r>
              <w:rPr>
                <w:sz w:val="24"/>
                <w:szCs w:val="24"/>
              </w:rPr>
              <w:t>- Medidas interna aproximadas: 2,13 X 0,85 X 0,48.</w:t>
            </w:r>
          </w:p>
        </w:tc>
        <w:tc>
          <w:tcPr>
            <w:tcW w:w="1452" w:type="dxa"/>
            <w:tcBorders>
              <w:top w:val="nil"/>
              <w:left w:val="nil"/>
              <w:bottom w:val="single" w:color="auto" w:sz="8" w:space="0"/>
              <w:right w:val="single" w:color="auto" w:sz="8" w:space="0"/>
            </w:tcBorders>
            <w:tcMar>
              <w:top w:w="0" w:type="dxa"/>
              <w:left w:w="108" w:type="dxa"/>
              <w:bottom w:w="0" w:type="dxa"/>
              <w:right w:w="108" w:type="dxa"/>
            </w:tcMar>
          </w:tcPr>
          <w:p w14:paraId="32C235D4">
            <w:pPr>
              <w:spacing w:before="203"/>
              <w:rPr>
                <w:sz w:val="24"/>
                <w:szCs w:val="24"/>
              </w:rPr>
            </w:pPr>
            <w:r>
              <w:rPr>
                <w:sz w:val="24"/>
                <w:szCs w:val="24"/>
              </w:rPr>
              <w:t>Unidade</w:t>
            </w:r>
          </w:p>
        </w:tc>
        <w:tc>
          <w:tcPr>
            <w:tcW w:w="1678" w:type="dxa"/>
            <w:tcBorders>
              <w:top w:val="nil"/>
              <w:left w:val="nil"/>
              <w:bottom w:val="single" w:color="auto" w:sz="8" w:space="0"/>
              <w:right w:val="single" w:color="auto" w:sz="8" w:space="0"/>
            </w:tcBorders>
            <w:tcMar>
              <w:top w:w="0" w:type="dxa"/>
              <w:left w:w="108" w:type="dxa"/>
              <w:bottom w:w="0" w:type="dxa"/>
              <w:right w:w="108" w:type="dxa"/>
            </w:tcMar>
          </w:tcPr>
          <w:p w14:paraId="5F97CF4B">
            <w:pPr>
              <w:spacing w:before="203"/>
              <w:jc w:val="center"/>
              <w:rPr>
                <w:sz w:val="24"/>
                <w:szCs w:val="24"/>
              </w:rPr>
            </w:pPr>
            <w:r>
              <w:rPr>
                <w:sz w:val="24"/>
                <w:szCs w:val="24"/>
              </w:rPr>
              <w:t>3</w:t>
            </w:r>
          </w:p>
        </w:tc>
        <w:tc>
          <w:tcPr>
            <w:tcW w:w="1309" w:type="dxa"/>
            <w:tcBorders>
              <w:top w:val="nil"/>
              <w:left w:val="nil"/>
              <w:bottom w:val="single" w:color="auto" w:sz="8" w:space="0"/>
              <w:right w:val="single" w:color="auto" w:sz="8" w:space="0"/>
            </w:tcBorders>
            <w:tcMar>
              <w:top w:w="0" w:type="dxa"/>
              <w:left w:w="108" w:type="dxa"/>
              <w:bottom w:w="0" w:type="dxa"/>
              <w:right w:w="108" w:type="dxa"/>
            </w:tcMar>
          </w:tcPr>
          <w:p w14:paraId="5DF862CF">
            <w:pPr>
              <w:spacing w:before="203"/>
              <w:rPr>
                <w:sz w:val="24"/>
                <w:szCs w:val="24"/>
              </w:rPr>
            </w:pPr>
            <w:r>
              <w:rPr>
                <w:sz w:val="24"/>
                <w:szCs w:val="24"/>
              </w:rPr>
              <w:t>R$ 2.420,00</w:t>
            </w:r>
          </w:p>
        </w:tc>
        <w:tc>
          <w:tcPr>
            <w:tcW w:w="1697" w:type="dxa"/>
            <w:tcBorders>
              <w:top w:val="nil"/>
              <w:left w:val="nil"/>
              <w:bottom w:val="single" w:color="auto" w:sz="8" w:space="0"/>
              <w:right w:val="single" w:color="auto" w:sz="8" w:space="0"/>
            </w:tcBorders>
            <w:tcMar>
              <w:top w:w="0" w:type="dxa"/>
              <w:left w:w="108" w:type="dxa"/>
              <w:bottom w:w="0" w:type="dxa"/>
              <w:right w:w="108" w:type="dxa"/>
            </w:tcMar>
          </w:tcPr>
          <w:p w14:paraId="1CF394FD">
            <w:pPr>
              <w:spacing w:before="203"/>
              <w:rPr>
                <w:sz w:val="24"/>
                <w:szCs w:val="24"/>
              </w:rPr>
            </w:pPr>
            <w:r>
              <w:rPr>
                <w:sz w:val="24"/>
                <w:szCs w:val="24"/>
              </w:rPr>
              <w:t>R$7.260,00</w:t>
            </w:r>
          </w:p>
        </w:tc>
      </w:tr>
      <w:tr w14:paraId="3E254FC3">
        <w:tblPrEx>
          <w:tblCellMar>
            <w:top w:w="0" w:type="dxa"/>
            <w:left w:w="0" w:type="dxa"/>
            <w:bottom w:w="0" w:type="dxa"/>
            <w:right w:w="0" w:type="dxa"/>
          </w:tblCellMar>
        </w:tblPrEx>
        <w:tc>
          <w:tcPr>
            <w:tcW w:w="738" w:type="dxa"/>
            <w:tcBorders>
              <w:top w:val="nil"/>
              <w:left w:val="single" w:color="auto" w:sz="8" w:space="0"/>
              <w:bottom w:val="single" w:color="auto" w:sz="8" w:space="0"/>
              <w:right w:val="single" w:color="auto" w:sz="8" w:space="0"/>
            </w:tcBorders>
            <w:tcMar>
              <w:top w:w="0" w:type="dxa"/>
              <w:left w:w="108" w:type="dxa"/>
              <w:bottom w:w="0" w:type="dxa"/>
              <w:right w:w="108" w:type="dxa"/>
            </w:tcMar>
          </w:tcPr>
          <w:p w14:paraId="7E6940F0">
            <w:pPr>
              <w:spacing w:before="203"/>
              <w:jc w:val="center"/>
              <w:rPr>
                <w:sz w:val="24"/>
                <w:szCs w:val="24"/>
              </w:rPr>
            </w:pPr>
            <w:r>
              <w:rPr>
                <w:sz w:val="24"/>
                <w:szCs w:val="24"/>
              </w:rPr>
              <w:t>8</w:t>
            </w:r>
          </w:p>
        </w:tc>
        <w:tc>
          <w:tcPr>
            <w:tcW w:w="2330" w:type="dxa"/>
            <w:tcBorders>
              <w:top w:val="nil"/>
              <w:left w:val="nil"/>
              <w:bottom w:val="single" w:color="auto" w:sz="8" w:space="0"/>
              <w:right w:val="single" w:color="auto" w:sz="8" w:space="0"/>
            </w:tcBorders>
            <w:tcMar>
              <w:top w:w="0" w:type="dxa"/>
              <w:left w:w="108" w:type="dxa"/>
              <w:bottom w:w="0" w:type="dxa"/>
              <w:right w:w="108" w:type="dxa"/>
            </w:tcMar>
          </w:tcPr>
          <w:p w14:paraId="26ED446E">
            <w:pPr>
              <w:spacing w:before="1"/>
              <w:ind w:left="38"/>
              <w:rPr>
                <w:sz w:val="24"/>
                <w:szCs w:val="24"/>
              </w:rPr>
            </w:pPr>
            <w:r>
              <w:rPr>
                <w:b/>
                <w:bCs/>
                <w:sz w:val="24"/>
                <w:szCs w:val="24"/>
              </w:rPr>
              <w:t>URNA MORTUÁRIA SUPER GORDA – MADEIRA</w:t>
            </w:r>
          </w:p>
          <w:p w14:paraId="7766F292">
            <w:pPr>
              <w:spacing w:before="22" w:line="257" w:lineRule="atLeast"/>
              <w:ind w:left="38" w:right="14"/>
              <w:rPr>
                <w:sz w:val="24"/>
                <w:szCs w:val="24"/>
              </w:rPr>
            </w:pPr>
            <w:r>
              <w:rPr>
                <w:sz w:val="24"/>
                <w:szCs w:val="24"/>
              </w:rPr>
              <w:t>Modelo: SEXTAVADO – Caixa: confeccionada em madeira de pinus, fundo misto em madeira e chapa dura de alta resistência colado e grampeado, bordada em relevo nas laterais. Tampa: confeccionada em madeira de pinus bordadas nas laterais, com encaixes e guias, com 4 chavetas para seu fechamento.</w:t>
            </w:r>
          </w:p>
          <w:p w14:paraId="4374B73C">
            <w:pPr>
              <w:spacing w:before="2" w:line="257" w:lineRule="atLeast"/>
              <w:ind w:left="38" w:right="14"/>
              <w:rPr>
                <w:sz w:val="24"/>
                <w:szCs w:val="24"/>
              </w:rPr>
            </w:pPr>
            <w:r>
              <w:rPr>
                <w:sz w:val="24"/>
                <w:szCs w:val="24"/>
              </w:rPr>
              <w:t>Tampo: confeccionado em chapa dura (fibra de eucalipto)</w:t>
            </w:r>
          </w:p>
          <w:p w14:paraId="6FA65DB9">
            <w:pPr>
              <w:spacing w:before="1" w:line="257" w:lineRule="atLeast"/>
              <w:ind w:left="38" w:right="14"/>
              <w:rPr>
                <w:sz w:val="24"/>
                <w:szCs w:val="24"/>
              </w:rPr>
            </w:pPr>
            <w:r>
              <w:rPr>
                <w:sz w:val="24"/>
                <w:szCs w:val="24"/>
              </w:rPr>
              <w:t>decorado artisticamente em silkscreen dourado, SEM VISOR. Alças fixas pigmentada forrada internamente em papel branco. Travesseiro solto, acabamento externo na cor cerejeira, mogno ou marfim , com visor</w:t>
            </w:r>
          </w:p>
          <w:p w14:paraId="5C6675BF">
            <w:pPr>
              <w:spacing w:before="203"/>
              <w:rPr>
                <w:sz w:val="24"/>
                <w:szCs w:val="24"/>
              </w:rPr>
            </w:pPr>
            <w:r>
              <w:rPr>
                <w:sz w:val="24"/>
                <w:szCs w:val="24"/>
              </w:rPr>
              <w:t>- Medidas interna aproximadas: 2,00 X 0,70 X 0,42</w:t>
            </w:r>
          </w:p>
        </w:tc>
        <w:tc>
          <w:tcPr>
            <w:tcW w:w="1452" w:type="dxa"/>
            <w:tcBorders>
              <w:top w:val="nil"/>
              <w:left w:val="nil"/>
              <w:bottom w:val="single" w:color="auto" w:sz="8" w:space="0"/>
              <w:right w:val="single" w:color="auto" w:sz="8" w:space="0"/>
            </w:tcBorders>
            <w:tcMar>
              <w:top w:w="0" w:type="dxa"/>
              <w:left w:w="108" w:type="dxa"/>
              <w:bottom w:w="0" w:type="dxa"/>
              <w:right w:w="108" w:type="dxa"/>
            </w:tcMar>
          </w:tcPr>
          <w:p w14:paraId="61BFFDD2">
            <w:pPr>
              <w:spacing w:before="203"/>
              <w:rPr>
                <w:sz w:val="24"/>
                <w:szCs w:val="24"/>
              </w:rPr>
            </w:pPr>
            <w:r>
              <w:rPr>
                <w:sz w:val="24"/>
                <w:szCs w:val="24"/>
              </w:rPr>
              <w:t>Unidade</w:t>
            </w:r>
          </w:p>
        </w:tc>
        <w:tc>
          <w:tcPr>
            <w:tcW w:w="1678" w:type="dxa"/>
            <w:tcBorders>
              <w:top w:val="nil"/>
              <w:left w:val="nil"/>
              <w:bottom w:val="single" w:color="auto" w:sz="8" w:space="0"/>
              <w:right w:val="single" w:color="auto" w:sz="8" w:space="0"/>
            </w:tcBorders>
            <w:tcMar>
              <w:top w:w="0" w:type="dxa"/>
              <w:left w:w="108" w:type="dxa"/>
              <w:bottom w:w="0" w:type="dxa"/>
              <w:right w:w="108" w:type="dxa"/>
            </w:tcMar>
          </w:tcPr>
          <w:p w14:paraId="1D794E89">
            <w:pPr>
              <w:spacing w:before="203"/>
              <w:jc w:val="center"/>
              <w:rPr>
                <w:sz w:val="24"/>
                <w:szCs w:val="24"/>
              </w:rPr>
            </w:pPr>
            <w:r>
              <w:rPr>
                <w:sz w:val="24"/>
                <w:szCs w:val="24"/>
              </w:rPr>
              <w:t>6</w:t>
            </w:r>
          </w:p>
        </w:tc>
        <w:tc>
          <w:tcPr>
            <w:tcW w:w="1309" w:type="dxa"/>
            <w:tcBorders>
              <w:top w:val="nil"/>
              <w:left w:val="nil"/>
              <w:bottom w:val="single" w:color="auto" w:sz="8" w:space="0"/>
              <w:right w:val="single" w:color="auto" w:sz="8" w:space="0"/>
            </w:tcBorders>
            <w:tcMar>
              <w:top w:w="0" w:type="dxa"/>
              <w:left w:w="108" w:type="dxa"/>
              <w:bottom w:w="0" w:type="dxa"/>
              <w:right w:w="108" w:type="dxa"/>
            </w:tcMar>
          </w:tcPr>
          <w:p w14:paraId="51C6B12A">
            <w:pPr>
              <w:spacing w:before="203"/>
              <w:rPr>
                <w:sz w:val="24"/>
                <w:szCs w:val="24"/>
              </w:rPr>
            </w:pPr>
            <w:r>
              <w:rPr>
                <w:sz w:val="24"/>
                <w:szCs w:val="24"/>
              </w:rPr>
              <w:t>R$ 1.780,00</w:t>
            </w:r>
          </w:p>
        </w:tc>
        <w:tc>
          <w:tcPr>
            <w:tcW w:w="1697" w:type="dxa"/>
            <w:tcBorders>
              <w:top w:val="nil"/>
              <w:left w:val="nil"/>
              <w:bottom w:val="single" w:color="auto" w:sz="8" w:space="0"/>
              <w:right w:val="single" w:color="auto" w:sz="8" w:space="0"/>
            </w:tcBorders>
            <w:tcMar>
              <w:top w:w="0" w:type="dxa"/>
              <w:left w:w="108" w:type="dxa"/>
              <w:bottom w:w="0" w:type="dxa"/>
              <w:right w:w="108" w:type="dxa"/>
            </w:tcMar>
          </w:tcPr>
          <w:p w14:paraId="4E877877">
            <w:pPr>
              <w:spacing w:before="203"/>
              <w:rPr>
                <w:sz w:val="24"/>
                <w:szCs w:val="24"/>
              </w:rPr>
            </w:pPr>
            <w:r>
              <w:rPr>
                <w:sz w:val="24"/>
                <w:szCs w:val="24"/>
              </w:rPr>
              <w:t>R$ 10.680,00</w:t>
            </w:r>
          </w:p>
        </w:tc>
      </w:tr>
      <w:tr w14:paraId="2D0A84F0">
        <w:tblPrEx>
          <w:tblCellMar>
            <w:top w:w="0" w:type="dxa"/>
            <w:left w:w="0" w:type="dxa"/>
            <w:bottom w:w="0" w:type="dxa"/>
            <w:right w:w="0" w:type="dxa"/>
          </w:tblCellMar>
        </w:tblPrEx>
        <w:tc>
          <w:tcPr>
            <w:tcW w:w="738" w:type="dxa"/>
            <w:tcBorders>
              <w:top w:val="nil"/>
              <w:left w:val="single" w:color="auto" w:sz="8" w:space="0"/>
              <w:bottom w:val="single" w:color="auto" w:sz="8" w:space="0"/>
              <w:right w:val="single" w:color="auto" w:sz="8" w:space="0"/>
            </w:tcBorders>
            <w:tcMar>
              <w:top w:w="0" w:type="dxa"/>
              <w:left w:w="108" w:type="dxa"/>
              <w:bottom w:w="0" w:type="dxa"/>
              <w:right w:w="108" w:type="dxa"/>
            </w:tcMar>
          </w:tcPr>
          <w:p w14:paraId="3871C036">
            <w:pPr>
              <w:spacing w:before="203"/>
              <w:jc w:val="center"/>
              <w:rPr>
                <w:sz w:val="24"/>
                <w:szCs w:val="24"/>
              </w:rPr>
            </w:pPr>
            <w:r>
              <w:rPr>
                <w:sz w:val="24"/>
                <w:szCs w:val="24"/>
              </w:rPr>
              <w:t>9</w:t>
            </w:r>
          </w:p>
        </w:tc>
        <w:tc>
          <w:tcPr>
            <w:tcW w:w="2330" w:type="dxa"/>
            <w:tcBorders>
              <w:top w:val="nil"/>
              <w:left w:val="nil"/>
              <w:bottom w:val="single" w:color="auto" w:sz="8" w:space="0"/>
              <w:right w:val="single" w:color="auto" w:sz="8" w:space="0"/>
            </w:tcBorders>
            <w:tcMar>
              <w:top w:w="0" w:type="dxa"/>
              <w:left w:w="108" w:type="dxa"/>
              <w:bottom w:w="0" w:type="dxa"/>
              <w:right w:w="108" w:type="dxa"/>
            </w:tcMar>
          </w:tcPr>
          <w:p w14:paraId="7EE79F52">
            <w:pPr>
              <w:spacing w:after="100" w:afterAutospacing="1" w:line="260" w:lineRule="atLeast"/>
              <w:ind w:left="38"/>
              <w:rPr>
                <w:sz w:val="24"/>
                <w:szCs w:val="24"/>
              </w:rPr>
            </w:pPr>
            <w:r>
              <w:rPr>
                <w:b/>
                <w:bCs/>
                <w:sz w:val="24"/>
                <w:szCs w:val="24"/>
              </w:rPr>
              <w:t>URNA MORTUÁRIA SUPER GORDA GC – MADEIRA</w:t>
            </w:r>
          </w:p>
          <w:p w14:paraId="16D8067A">
            <w:pPr>
              <w:spacing w:before="22" w:line="257" w:lineRule="atLeast"/>
              <w:ind w:left="38" w:right="14"/>
              <w:rPr>
                <w:sz w:val="24"/>
                <w:szCs w:val="24"/>
              </w:rPr>
            </w:pPr>
            <w:r>
              <w:rPr>
                <w:sz w:val="24"/>
                <w:szCs w:val="24"/>
              </w:rPr>
              <w:t>Modelo: SEXTAVADO – Caixa: confeccionada em madeira de pinus, fundo misto em madeira e chapa dura de alta resistência colado e grampeado, bordada em relevo nas laterais. Tampa: confeccionada em madeira de pinus bordadas nas laterais, com encaixes e guias, com 4 chavetas para seu fechamento.</w:t>
            </w:r>
          </w:p>
          <w:p w14:paraId="787D2932">
            <w:pPr>
              <w:spacing w:before="2" w:line="257" w:lineRule="atLeast"/>
              <w:ind w:left="38" w:right="14"/>
              <w:rPr>
                <w:sz w:val="24"/>
                <w:szCs w:val="24"/>
              </w:rPr>
            </w:pPr>
            <w:r>
              <w:rPr>
                <w:sz w:val="24"/>
                <w:szCs w:val="24"/>
              </w:rPr>
              <w:t>Tampo: confeccionado em chapa dura (fibra de eucalipto)</w:t>
            </w:r>
          </w:p>
          <w:p w14:paraId="74A249D0">
            <w:pPr>
              <w:spacing w:before="1" w:line="257" w:lineRule="atLeast"/>
              <w:ind w:left="38" w:right="14"/>
              <w:rPr>
                <w:sz w:val="24"/>
                <w:szCs w:val="24"/>
              </w:rPr>
            </w:pPr>
            <w:r>
              <w:rPr>
                <w:sz w:val="24"/>
                <w:szCs w:val="24"/>
              </w:rPr>
              <w:t>decorado artisticamente em silkscreen dourado, SEM VISOR. Alças fixas pigmentada forrada internamente em papel branco. Travesseiro solto, acabamento externo na cor cerejeira, mogno ou marfim , com visor</w:t>
            </w:r>
          </w:p>
          <w:p w14:paraId="10F6AB13">
            <w:pPr>
              <w:spacing w:before="203"/>
              <w:rPr>
                <w:sz w:val="24"/>
                <w:szCs w:val="24"/>
              </w:rPr>
            </w:pPr>
            <w:r>
              <w:rPr>
                <w:sz w:val="24"/>
                <w:szCs w:val="24"/>
              </w:rPr>
              <w:t>- Medidas interna aproximadas: 2,07 X 0,65 X 0,32</w:t>
            </w:r>
          </w:p>
        </w:tc>
        <w:tc>
          <w:tcPr>
            <w:tcW w:w="1452" w:type="dxa"/>
            <w:tcBorders>
              <w:top w:val="nil"/>
              <w:left w:val="nil"/>
              <w:bottom w:val="single" w:color="auto" w:sz="8" w:space="0"/>
              <w:right w:val="single" w:color="auto" w:sz="8" w:space="0"/>
            </w:tcBorders>
            <w:tcMar>
              <w:top w:w="0" w:type="dxa"/>
              <w:left w:w="108" w:type="dxa"/>
              <w:bottom w:w="0" w:type="dxa"/>
              <w:right w:w="108" w:type="dxa"/>
            </w:tcMar>
          </w:tcPr>
          <w:p w14:paraId="620DAAC7">
            <w:pPr>
              <w:spacing w:before="203"/>
              <w:rPr>
                <w:sz w:val="24"/>
                <w:szCs w:val="24"/>
              </w:rPr>
            </w:pPr>
            <w:r>
              <w:rPr>
                <w:sz w:val="24"/>
                <w:szCs w:val="24"/>
              </w:rPr>
              <w:t>Unidade</w:t>
            </w:r>
          </w:p>
        </w:tc>
        <w:tc>
          <w:tcPr>
            <w:tcW w:w="1678" w:type="dxa"/>
            <w:tcBorders>
              <w:top w:val="nil"/>
              <w:left w:val="nil"/>
              <w:bottom w:val="single" w:color="auto" w:sz="8" w:space="0"/>
              <w:right w:val="single" w:color="auto" w:sz="8" w:space="0"/>
            </w:tcBorders>
            <w:tcMar>
              <w:top w:w="0" w:type="dxa"/>
              <w:left w:w="108" w:type="dxa"/>
              <w:bottom w:w="0" w:type="dxa"/>
              <w:right w:w="108" w:type="dxa"/>
            </w:tcMar>
          </w:tcPr>
          <w:p w14:paraId="415D7AF2">
            <w:pPr>
              <w:spacing w:before="203"/>
              <w:jc w:val="center"/>
              <w:rPr>
                <w:sz w:val="24"/>
                <w:szCs w:val="24"/>
              </w:rPr>
            </w:pPr>
            <w:r>
              <w:rPr>
                <w:sz w:val="24"/>
                <w:szCs w:val="24"/>
              </w:rPr>
              <w:t>6</w:t>
            </w:r>
          </w:p>
        </w:tc>
        <w:tc>
          <w:tcPr>
            <w:tcW w:w="1309" w:type="dxa"/>
            <w:tcBorders>
              <w:top w:val="nil"/>
              <w:left w:val="nil"/>
              <w:bottom w:val="single" w:color="auto" w:sz="8" w:space="0"/>
              <w:right w:val="single" w:color="auto" w:sz="8" w:space="0"/>
            </w:tcBorders>
            <w:tcMar>
              <w:top w:w="0" w:type="dxa"/>
              <w:left w:w="108" w:type="dxa"/>
              <w:bottom w:w="0" w:type="dxa"/>
              <w:right w:w="108" w:type="dxa"/>
            </w:tcMar>
          </w:tcPr>
          <w:p w14:paraId="3A4269E9">
            <w:pPr>
              <w:spacing w:before="203"/>
              <w:rPr>
                <w:sz w:val="24"/>
                <w:szCs w:val="24"/>
              </w:rPr>
            </w:pPr>
            <w:r>
              <w:rPr>
                <w:sz w:val="24"/>
                <w:szCs w:val="24"/>
              </w:rPr>
              <w:t>R$ 1.500,00</w:t>
            </w:r>
          </w:p>
        </w:tc>
        <w:tc>
          <w:tcPr>
            <w:tcW w:w="1697" w:type="dxa"/>
            <w:tcBorders>
              <w:top w:val="nil"/>
              <w:left w:val="nil"/>
              <w:bottom w:val="single" w:color="auto" w:sz="8" w:space="0"/>
              <w:right w:val="single" w:color="auto" w:sz="8" w:space="0"/>
            </w:tcBorders>
            <w:tcMar>
              <w:top w:w="0" w:type="dxa"/>
              <w:left w:w="108" w:type="dxa"/>
              <w:bottom w:w="0" w:type="dxa"/>
              <w:right w:w="108" w:type="dxa"/>
            </w:tcMar>
          </w:tcPr>
          <w:p w14:paraId="20E5DAE0">
            <w:pPr>
              <w:spacing w:before="203"/>
              <w:rPr>
                <w:sz w:val="24"/>
                <w:szCs w:val="24"/>
              </w:rPr>
            </w:pPr>
            <w:r>
              <w:rPr>
                <w:sz w:val="24"/>
                <w:szCs w:val="24"/>
              </w:rPr>
              <w:t>R$ 9.000,00</w:t>
            </w:r>
          </w:p>
        </w:tc>
      </w:tr>
      <w:tr w14:paraId="7DF4C3F9">
        <w:tblPrEx>
          <w:tblCellMar>
            <w:top w:w="0" w:type="dxa"/>
            <w:left w:w="0" w:type="dxa"/>
            <w:bottom w:w="0" w:type="dxa"/>
            <w:right w:w="0" w:type="dxa"/>
          </w:tblCellMar>
        </w:tblPrEx>
        <w:tc>
          <w:tcPr>
            <w:tcW w:w="7507" w:type="dxa"/>
            <w:gridSpan w:val="5"/>
            <w:tcBorders>
              <w:top w:val="nil"/>
              <w:left w:val="single" w:color="auto" w:sz="8" w:space="0"/>
              <w:bottom w:val="single" w:color="auto" w:sz="8" w:space="0"/>
              <w:right w:val="single" w:color="auto" w:sz="8" w:space="0"/>
            </w:tcBorders>
            <w:tcMar>
              <w:top w:w="0" w:type="dxa"/>
              <w:left w:w="108" w:type="dxa"/>
              <w:bottom w:w="0" w:type="dxa"/>
              <w:right w:w="108" w:type="dxa"/>
            </w:tcMar>
          </w:tcPr>
          <w:p w14:paraId="079AC28F">
            <w:pPr>
              <w:spacing w:before="203"/>
              <w:jc w:val="right"/>
              <w:rPr>
                <w:sz w:val="24"/>
                <w:szCs w:val="24"/>
              </w:rPr>
            </w:pPr>
            <w:r>
              <w:rPr>
                <w:b/>
                <w:bCs/>
                <w:sz w:val="24"/>
                <w:szCs w:val="24"/>
              </w:rPr>
              <w:t>TOTAL</w:t>
            </w:r>
          </w:p>
        </w:tc>
        <w:tc>
          <w:tcPr>
            <w:tcW w:w="1697" w:type="dxa"/>
            <w:tcBorders>
              <w:top w:val="nil"/>
              <w:left w:val="nil"/>
              <w:bottom w:val="single" w:color="auto" w:sz="8" w:space="0"/>
              <w:right w:val="single" w:color="auto" w:sz="8" w:space="0"/>
            </w:tcBorders>
            <w:tcMar>
              <w:top w:w="0" w:type="dxa"/>
              <w:left w:w="108" w:type="dxa"/>
              <w:bottom w:w="0" w:type="dxa"/>
              <w:right w:w="108" w:type="dxa"/>
            </w:tcMar>
          </w:tcPr>
          <w:p w14:paraId="5726937B">
            <w:pPr>
              <w:spacing w:before="203"/>
              <w:rPr>
                <w:sz w:val="24"/>
                <w:szCs w:val="24"/>
              </w:rPr>
            </w:pPr>
            <w:r>
              <w:rPr>
                <w:sz w:val="24"/>
                <w:szCs w:val="24"/>
              </w:rPr>
              <w:t>R$ 168.200,00</w:t>
            </w:r>
          </w:p>
        </w:tc>
      </w:tr>
    </w:tbl>
    <w:p w14:paraId="320F360C">
      <w:pPr>
        <w:spacing w:before="203" w:after="100" w:afterAutospacing="1"/>
        <w:rPr>
          <w:color w:val="000000"/>
          <w:sz w:val="27"/>
          <w:szCs w:val="27"/>
        </w:rPr>
      </w:pPr>
      <w:r>
        <w:rPr>
          <w:color w:val="000000"/>
          <w:sz w:val="27"/>
          <w:szCs w:val="27"/>
        </w:rPr>
        <w:t> </w:t>
      </w:r>
    </w:p>
    <w:p w14:paraId="0C993750">
      <w:pPr>
        <w:spacing w:before="100" w:beforeAutospacing="1" w:after="100" w:afterAutospacing="1"/>
        <w:rPr>
          <w:color w:val="000000"/>
          <w:sz w:val="27"/>
          <w:szCs w:val="27"/>
        </w:rPr>
      </w:pPr>
      <w:r>
        <w:rPr>
          <w:color w:val="000000"/>
          <w:sz w:val="27"/>
          <w:szCs w:val="27"/>
        </w:rPr>
        <w:t>1.1.       Da Contratação:</w:t>
      </w:r>
    </w:p>
    <w:p w14:paraId="6CEBC071">
      <w:pPr>
        <w:spacing w:before="100" w:beforeAutospacing="1" w:after="100" w:afterAutospacing="1"/>
        <w:rPr>
          <w:color w:val="000000"/>
          <w:sz w:val="27"/>
          <w:szCs w:val="27"/>
        </w:rPr>
      </w:pPr>
      <w:r>
        <w:rPr>
          <w:color w:val="000000"/>
          <w:sz w:val="27"/>
          <w:szCs w:val="27"/>
        </w:rPr>
        <w:t>1.1.1.  O prazo de vigência da contratação é de 12 meses  na forma do art. 105 da Lei nº 14.133, de 2021.</w:t>
      </w:r>
    </w:p>
    <w:p w14:paraId="2B429AB9">
      <w:pPr>
        <w:spacing w:before="100" w:beforeAutospacing="1" w:after="100" w:afterAutospacing="1"/>
        <w:rPr>
          <w:color w:val="000000"/>
          <w:sz w:val="27"/>
          <w:szCs w:val="27"/>
        </w:rPr>
      </w:pPr>
      <w:r>
        <w:rPr>
          <w:b/>
          <w:bCs/>
          <w:color w:val="000000"/>
          <w:sz w:val="27"/>
          <w:szCs w:val="27"/>
        </w:rPr>
        <w:t>2.  FUNDAMENTAÇÃO E DESCRIÇÃO DA NECESSIDADE DA CONTRATAÇÃO</w:t>
      </w:r>
    </w:p>
    <w:p w14:paraId="353685CC">
      <w:pPr>
        <w:spacing w:before="100" w:beforeAutospacing="1" w:after="100" w:afterAutospacing="1"/>
        <w:rPr>
          <w:color w:val="000000"/>
          <w:sz w:val="27"/>
          <w:szCs w:val="27"/>
        </w:rPr>
      </w:pPr>
      <w:r>
        <w:rPr>
          <w:b/>
          <w:bCs/>
          <w:color w:val="000000"/>
          <w:sz w:val="27"/>
          <w:szCs w:val="27"/>
        </w:rPr>
        <w:t> </w:t>
      </w:r>
      <w:r>
        <w:rPr>
          <w:color w:val="000000"/>
          <w:sz w:val="27"/>
          <w:szCs w:val="27"/>
        </w:rPr>
        <w:t>2.1.           A presente licitação será realizada na modalidade Pregão Eletrônico, nos termos da Lei nº 14.133/202 – Art. 75, inciso II por lote.</w:t>
      </w:r>
    </w:p>
    <w:p w14:paraId="07B7ADBE">
      <w:pPr>
        <w:spacing w:before="242" w:line="240" w:lineRule="atLeast"/>
        <w:ind w:left="120" w:right="118"/>
        <w:rPr>
          <w:color w:val="000000"/>
          <w:sz w:val="27"/>
          <w:szCs w:val="27"/>
        </w:rPr>
      </w:pPr>
      <w:r>
        <w:rPr>
          <w:color w:val="000000"/>
          <w:sz w:val="27"/>
          <w:szCs w:val="27"/>
        </w:rPr>
        <w:t>2.2.          A contratação visa garantir o atendimento contínuo e imediato às demandas de auxílio funeral, assegurado dignidade às famílias em situação de vulnerabilidade social.</w:t>
      </w:r>
    </w:p>
    <w:p w14:paraId="2C910234">
      <w:pPr>
        <w:spacing w:before="242" w:line="240" w:lineRule="atLeast"/>
        <w:ind w:left="120" w:right="118"/>
        <w:rPr>
          <w:color w:val="000000"/>
          <w:sz w:val="27"/>
          <w:szCs w:val="27"/>
        </w:rPr>
      </w:pPr>
      <w:r>
        <w:rPr>
          <w:color w:val="000000"/>
          <w:sz w:val="27"/>
          <w:szCs w:val="27"/>
        </w:rPr>
        <w:t>2.3.          A adoção do sistema de registro de preços justifica-se pela;</w:t>
      </w:r>
    </w:p>
    <w:p w14:paraId="520E56DD">
      <w:pPr>
        <w:spacing w:before="242" w:line="240" w:lineRule="atLeast"/>
        <w:ind w:left="120" w:right="118"/>
        <w:rPr>
          <w:color w:val="000000"/>
          <w:sz w:val="27"/>
          <w:szCs w:val="27"/>
        </w:rPr>
      </w:pPr>
      <w:r>
        <w:rPr>
          <w:color w:val="000000"/>
          <w:sz w:val="27"/>
          <w:szCs w:val="27"/>
        </w:rPr>
        <w:t>2.4.          Imprevisibilidade da demanda;</w:t>
      </w:r>
    </w:p>
    <w:p w14:paraId="0B272B30">
      <w:pPr>
        <w:spacing w:before="242" w:line="240" w:lineRule="atLeast"/>
        <w:ind w:left="120" w:right="118"/>
        <w:rPr>
          <w:color w:val="000000"/>
          <w:sz w:val="27"/>
          <w:szCs w:val="27"/>
        </w:rPr>
      </w:pPr>
      <w:r>
        <w:rPr>
          <w:color w:val="000000"/>
          <w:sz w:val="27"/>
          <w:szCs w:val="27"/>
        </w:rPr>
        <w:t>2.5.          Necessidade de contratações frequentes;</w:t>
      </w:r>
    </w:p>
    <w:p w14:paraId="78B08E2D">
      <w:pPr>
        <w:spacing w:before="242" w:line="240" w:lineRule="atLeast"/>
        <w:ind w:left="120" w:right="118"/>
        <w:rPr>
          <w:color w:val="000000"/>
          <w:sz w:val="27"/>
          <w:szCs w:val="27"/>
        </w:rPr>
      </w:pPr>
      <w:r>
        <w:rPr>
          <w:color w:val="000000"/>
          <w:sz w:val="27"/>
          <w:szCs w:val="27"/>
        </w:rPr>
        <w:t>2.6.          Eficiência administrativa;</w:t>
      </w:r>
    </w:p>
    <w:p w14:paraId="284B47F7">
      <w:pPr>
        <w:spacing w:before="242" w:line="240" w:lineRule="atLeast"/>
        <w:ind w:left="120" w:right="118"/>
        <w:rPr>
          <w:color w:val="000000"/>
          <w:sz w:val="27"/>
          <w:szCs w:val="27"/>
        </w:rPr>
      </w:pPr>
      <w:r>
        <w:rPr>
          <w:color w:val="000000"/>
          <w:sz w:val="27"/>
          <w:szCs w:val="27"/>
        </w:rPr>
        <w:t>2.7.          Atendimento emergencial indireto.</w:t>
      </w:r>
    </w:p>
    <w:p w14:paraId="6B148CB2">
      <w:pPr>
        <w:spacing w:before="100" w:beforeAutospacing="1" w:after="100" w:afterAutospacing="1"/>
        <w:rPr>
          <w:color w:val="000000"/>
          <w:sz w:val="27"/>
          <w:szCs w:val="27"/>
        </w:rPr>
      </w:pPr>
      <w:r>
        <w:rPr>
          <w:b/>
          <w:bCs/>
          <w:color w:val="000000"/>
          <w:sz w:val="27"/>
          <w:szCs w:val="27"/>
        </w:rPr>
        <w:t> 3.  MODELO DE EXECUÇÃO DO OBJETO</w:t>
      </w:r>
    </w:p>
    <w:p w14:paraId="0E666AD3">
      <w:pPr>
        <w:spacing w:before="244"/>
        <w:ind w:left="540"/>
        <w:rPr>
          <w:color w:val="000000"/>
          <w:sz w:val="27"/>
          <w:szCs w:val="27"/>
        </w:rPr>
      </w:pPr>
      <w:r>
        <w:rPr>
          <w:b/>
          <w:bCs/>
          <w:color w:val="00000A"/>
          <w:sz w:val="27"/>
          <w:szCs w:val="27"/>
        </w:rPr>
        <w:t>3.1.       Forma de fornecimento e condições de entrega</w:t>
      </w:r>
    </w:p>
    <w:p w14:paraId="0A1CD255">
      <w:pPr>
        <w:spacing w:before="244" w:line="240" w:lineRule="atLeast"/>
        <w:ind w:left="120" w:right="118"/>
        <w:rPr>
          <w:color w:val="000000"/>
          <w:sz w:val="27"/>
          <w:szCs w:val="27"/>
        </w:rPr>
      </w:pPr>
      <w:r>
        <w:rPr>
          <w:color w:val="000000"/>
          <w:sz w:val="27"/>
          <w:szCs w:val="27"/>
        </w:rPr>
        <w:t>3.1.1.         Parcelado, conforme solicitações da unidade;</w:t>
      </w:r>
    </w:p>
    <w:p w14:paraId="0EBDCAC4">
      <w:pPr>
        <w:spacing w:before="243" w:line="240" w:lineRule="atLeast"/>
        <w:ind w:left="720" w:right="118"/>
        <w:jc w:val="both"/>
        <w:rPr>
          <w:color w:val="000000"/>
          <w:sz w:val="27"/>
          <w:szCs w:val="27"/>
        </w:rPr>
      </w:pPr>
      <w:r>
        <w:rPr>
          <w:color w:val="000000"/>
          <w:sz w:val="27"/>
          <w:szCs w:val="27"/>
        </w:rPr>
        <w:t>3.1.2.   Produtos novos, sem uso em  perfeitas condições;</w:t>
      </w:r>
    </w:p>
    <w:p w14:paraId="22188A69">
      <w:pPr>
        <w:spacing w:before="243" w:line="240" w:lineRule="atLeast"/>
        <w:ind w:left="720" w:right="118"/>
        <w:jc w:val="both"/>
        <w:rPr>
          <w:color w:val="000000"/>
          <w:sz w:val="27"/>
          <w:szCs w:val="27"/>
        </w:rPr>
      </w:pPr>
      <w:r>
        <w:rPr>
          <w:color w:val="000000"/>
          <w:sz w:val="27"/>
          <w:szCs w:val="27"/>
        </w:rPr>
        <w:t>3.1.3.   Responsabilidade integral do fornecedor pelo transporte</w:t>
      </w:r>
    </w:p>
    <w:p w14:paraId="2282A361">
      <w:pPr>
        <w:spacing w:before="100" w:beforeAutospacing="1" w:after="100" w:afterAutospacing="1"/>
        <w:rPr>
          <w:color w:val="000000"/>
          <w:sz w:val="27"/>
          <w:szCs w:val="27"/>
        </w:rPr>
      </w:pPr>
      <w:r>
        <w:rPr>
          <w:color w:val="000000"/>
          <w:sz w:val="27"/>
          <w:szCs w:val="27"/>
        </w:rPr>
        <w:t> 3.2.       Condições de Entrega</w:t>
      </w:r>
    </w:p>
    <w:p w14:paraId="08C293C9">
      <w:pPr>
        <w:spacing w:before="244" w:line="240" w:lineRule="atLeast"/>
        <w:ind w:right="117"/>
        <w:rPr>
          <w:color w:val="000000"/>
          <w:sz w:val="27"/>
          <w:szCs w:val="27"/>
        </w:rPr>
      </w:pPr>
      <w:r>
        <w:rPr>
          <w:color w:val="000000"/>
          <w:sz w:val="27"/>
          <w:szCs w:val="27"/>
        </w:rPr>
        <w:t>3.2.1– Os itens deverão ser entregues no local  indicado pela Secretaria Municipal de Assistência Social, dentro do Município de Valença/RJ</w:t>
      </w:r>
    </w:p>
    <w:p w14:paraId="2BAC4DCD">
      <w:pPr>
        <w:spacing w:before="80" w:line="240" w:lineRule="atLeast"/>
        <w:ind w:right="118"/>
        <w:rPr>
          <w:color w:val="000000"/>
          <w:sz w:val="27"/>
          <w:szCs w:val="27"/>
        </w:rPr>
      </w:pPr>
      <w:r>
        <w:rPr>
          <w:color w:val="000000"/>
          <w:sz w:val="27"/>
          <w:szCs w:val="27"/>
        </w:rPr>
        <w:t>3.2.2- Os bens poderão ser rejeitados, no todo ou em parte, quando em desacordo com as especificações constantes neste Termo de Referência e na proposta, devendo ser substituídos no prazo de 10(dez) dias, a contar da notificação da contratada, às suas custas, sem prejuízo da aplicação das penalidades.</w:t>
      </w:r>
    </w:p>
    <w:p w14:paraId="0C318BC4">
      <w:pPr>
        <w:spacing w:before="243"/>
        <w:rPr>
          <w:color w:val="000000"/>
          <w:sz w:val="27"/>
          <w:szCs w:val="27"/>
        </w:rPr>
      </w:pPr>
      <w:r>
        <w:rPr>
          <w:color w:val="000000"/>
          <w:sz w:val="27"/>
          <w:szCs w:val="27"/>
        </w:rPr>
        <w:t>3.2.3- Deverá ser enviada Nota Fiscal no valor total dos bens adquiridos.</w:t>
      </w:r>
    </w:p>
    <w:p w14:paraId="63CB8CF5">
      <w:pPr>
        <w:spacing w:before="100" w:beforeAutospacing="1" w:after="100" w:afterAutospacing="1"/>
        <w:rPr>
          <w:color w:val="000000"/>
          <w:sz w:val="27"/>
          <w:szCs w:val="27"/>
        </w:rPr>
      </w:pPr>
      <w:r>
        <w:rPr>
          <w:b/>
          <w:bCs/>
          <w:color w:val="000000"/>
          <w:sz w:val="27"/>
          <w:szCs w:val="27"/>
        </w:rPr>
        <w:t> 4.  GESTÃO DO CONTRATO</w:t>
      </w:r>
    </w:p>
    <w:p w14:paraId="12EB7A09">
      <w:pPr>
        <w:spacing w:before="244" w:line="240" w:lineRule="atLeast"/>
        <w:ind w:left="119" w:right="118"/>
        <w:rPr>
          <w:color w:val="000000"/>
          <w:sz w:val="27"/>
          <w:szCs w:val="27"/>
        </w:rPr>
      </w:pPr>
      <w:r>
        <w:rPr>
          <w:color w:val="000000"/>
          <w:sz w:val="27"/>
          <w:szCs w:val="27"/>
        </w:rPr>
        <w:t>4.1.          O contrato deverá ser executado fielmente pelas partes, de acordo com as cláusulas avançadas e as normas da </w:t>
      </w:r>
      <w:r>
        <w:rPr>
          <w:color w:val="000000"/>
          <w:sz w:val="27"/>
          <w:szCs w:val="27"/>
          <w:u w:val="single"/>
        </w:rPr>
        <w:t>Lei nº 14.133, de 2021</w:t>
      </w:r>
      <w:r>
        <w:rPr>
          <w:color w:val="000000"/>
          <w:sz w:val="27"/>
          <w:szCs w:val="27"/>
        </w:rPr>
        <w:t>, e cada parte responderá pelas consequências de sua inexecução total ou parcial.</w:t>
      </w:r>
    </w:p>
    <w:p w14:paraId="6EB55560">
      <w:pPr>
        <w:spacing w:before="244" w:line="240" w:lineRule="atLeast"/>
        <w:ind w:left="119" w:right="117"/>
        <w:rPr>
          <w:color w:val="000000"/>
          <w:sz w:val="27"/>
          <w:szCs w:val="27"/>
        </w:rPr>
      </w:pPr>
      <w:r>
        <w:rPr>
          <w:color w:val="000000"/>
          <w:sz w:val="27"/>
          <w:szCs w:val="27"/>
        </w:rPr>
        <w:t>4.2.         Em caso de impedimento, ordem de paralisação ou suspensão do contrato, o cronograma de execução será prorrogado automaticamente pelo tempo correspondente, anotadas tais circunstâncias mediante simples apostila.</w:t>
      </w:r>
    </w:p>
    <w:p w14:paraId="3D99473A">
      <w:pPr>
        <w:spacing w:before="244" w:line="240" w:lineRule="atLeast"/>
        <w:ind w:left="119" w:right="118"/>
        <w:rPr>
          <w:color w:val="000000"/>
          <w:sz w:val="27"/>
          <w:szCs w:val="27"/>
        </w:rPr>
      </w:pPr>
      <w:r>
        <w:rPr>
          <w:color w:val="000000"/>
          <w:sz w:val="27"/>
          <w:szCs w:val="27"/>
        </w:rPr>
        <w:t>4.3.        As comunicações entre o órgão e a contratada devem ser realizadas por escrito sempre que o ato exigir tal formalidade, admitindo-se o uso de mensagem eletrônica para esse fim.</w:t>
      </w:r>
    </w:p>
    <w:p w14:paraId="3C4E3F95">
      <w:pPr>
        <w:spacing w:before="242" w:line="240" w:lineRule="atLeast"/>
        <w:ind w:left="119" w:right="118"/>
        <w:rPr>
          <w:color w:val="000000"/>
          <w:sz w:val="27"/>
          <w:szCs w:val="27"/>
        </w:rPr>
      </w:pPr>
      <w:r>
        <w:rPr>
          <w:color w:val="000000"/>
          <w:sz w:val="27"/>
          <w:szCs w:val="27"/>
        </w:rPr>
        <w:t>4.4.            O órgão poderá convocar representante da empresa para adoção de providências que devam ser cumpridas de imediato.</w:t>
      </w:r>
    </w:p>
    <w:p w14:paraId="20EA03DC">
      <w:pPr>
        <w:spacing w:before="243" w:line="240" w:lineRule="atLeast"/>
        <w:ind w:left="119" w:right="118"/>
        <w:rPr>
          <w:color w:val="000000"/>
          <w:sz w:val="27"/>
          <w:szCs w:val="27"/>
        </w:rPr>
      </w:pPr>
      <w:r>
        <w:rPr>
          <w:color w:val="000000"/>
          <w:sz w:val="27"/>
          <w:szCs w:val="27"/>
        </w:rPr>
        <w:t>4.5.         A execução do contrato deverá ser acompanhada e fiscalizada pelo(s) fiscal(is) do contrato, ou pelos respectivos substitutos, na forma do artigo 117 da </w:t>
      </w:r>
      <w:r>
        <w:rPr>
          <w:color w:val="000000"/>
          <w:sz w:val="27"/>
          <w:szCs w:val="27"/>
          <w:u w:val="single"/>
        </w:rPr>
        <w:t>Lei nº 14.133, de 2021</w:t>
      </w:r>
      <w:r>
        <w:rPr>
          <w:color w:val="000000"/>
          <w:sz w:val="27"/>
          <w:szCs w:val="27"/>
        </w:rPr>
        <w:t>.</w:t>
      </w:r>
    </w:p>
    <w:p w14:paraId="4CA2C266">
      <w:pPr>
        <w:spacing w:before="100" w:beforeAutospacing="1" w:after="100" w:afterAutospacing="1"/>
        <w:rPr>
          <w:color w:val="000000"/>
          <w:sz w:val="27"/>
          <w:szCs w:val="27"/>
        </w:rPr>
      </w:pPr>
      <w:r>
        <w:rPr>
          <w:color w:val="000000"/>
          <w:sz w:val="27"/>
          <w:szCs w:val="27"/>
        </w:rPr>
        <w:t> </w:t>
      </w:r>
      <w:r>
        <w:rPr>
          <w:b/>
          <w:bCs/>
          <w:color w:val="000000"/>
          <w:sz w:val="27"/>
          <w:szCs w:val="27"/>
        </w:rPr>
        <w:t>5.  CRITÉRIOS DE RECEBIMENTO/MEDIÇÃO E DE PAGAMENTO</w:t>
      </w:r>
    </w:p>
    <w:p w14:paraId="1B0894BB">
      <w:pPr>
        <w:spacing w:before="100" w:beforeAutospacing="1" w:after="100" w:afterAutospacing="1"/>
        <w:rPr>
          <w:color w:val="000000"/>
          <w:sz w:val="27"/>
          <w:szCs w:val="27"/>
        </w:rPr>
      </w:pPr>
      <w:r>
        <w:rPr>
          <w:b/>
          <w:bCs/>
          <w:color w:val="000000"/>
          <w:sz w:val="27"/>
          <w:szCs w:val="27"/>
        </w:rPr>
        <w:t> </w:t>
      </w:r>
      <w:r>
        <w:rPr>
          <w:color w:val="000000"/>
          <w:sz w:val="27"/>
          <w:szCs w:val="27"/>
        </w:rPr>
        <w:t>5.1.       Recebimento do Objeto:</w:t>
      </w:r>
    </w:p>
    <w:p w14:paraId="333E7CF6">
      <w:pPr>
        <w:spacing w:before="244" w:line="240" w:lineRule="atLeast"/>
        <w:ind w:left="119" w:right="118"/>
        <w:rPr>
          <w:color w:val="000000"/>
          <w:sz w:val="27"/>
          <w:szCs w:val="27"/>
        </w:rPr>
      </w:pPr>
      <w:r>
        <w:rPr>
          <w:color w:val="000000"/>
          <w:sz w:val="27"/>
          <w:szCs w:val="27"/>
        </w:rPr>
        <w:t>5.1.1.    Os materiais devem ser entregues de acordo com as especificações deste TR, acompanhados das respectivas notas fiscais.</w:t>
      </w:r>
    </w:p>
    <w:p w14:paraId="7F4CB797">
      <w:pPr>
        <w:spacing w:before="242" w:line="240" w:lineRule="atLeast"/>
        <w:ind w:left="119" w:right="117"/>
        <w:rPr>
          <w:color w:val="000000"/>
          <w:sz w:val="27"/>
          <w:szCs w:val="27"/>
        </w:rPr>
      </w:pPr>
      <w:r>
        <w:rPr>
          <w:color w:val="000000"/>
          <w:sz w:val="27"/>
          <w:szCs w:val="27"/>
        </w:rPr>
        <w:t>5.1.2.    No caso de controvérsia sobre a execução do objeto, quanto à dimensão, qualidade e quantidade, deverá ser observado o teor do </w:t>
      </w:r>
      <w:r>
        <w:rPr>
          <w:color w:val="000000"/>
          <w:sz w:val="27"/>
          <w:szCs w:val="27"/>
          <w:u w:val="single"/>
        </w:rPr>
        <w:t>art. 143 da Lei nº 14.133</w:t>
      </w:r>
      <w:r>
        <w:rPr>
          <w:color w:val="000000"/>
          <w:sz w:val="27"/>
          <w:szCs w:val="27"/>
        </w:rPr>
        <w:t>,</w:t>
      </w:r>
      <w:r>
        <w:rPr>
          <w:color w:val="000000"/>
          <w:sz w:val="27"/>
          <w:szCs w:val="27"/>
          <w:u w:val="single"/>
        </w:rPr>
        <w:t> de 2021</w:t>
      </w:r>
      <w:r>
        <w:rPr>
          <w:color w:val="000000"/>
          <w:sz w:val="27"/>
          <w:szCs w:val="27"/>
        </w:rPr>
        <w:t>, comunicando-se à empresa para emissão de Nota Fiscal no que for pertinente à parcela incontroversa da execução do objeto, para efeito de liquidação e pagamento.</w:t>
      </w:r>
    </w:p>
    <w:p w14:paraId="3D2C0DF9">
      <w:pPr>
        <w:spacing w:before="245" w:line="240" w:lineRule="atLeast"/>
        <w:ind w:left="119" w:right="117"/>
        <w:rPr>
          <w:color w:val="000000"/>
          <w:sz w:val="27"/>
          <w:szCs w:val="27"/>
        </w:rPr>
      </w:pPr>
      <w:r>
        <w:rPr>
          <w:color w:val="000000"/>
          <w:sz w:val="27"/>
          <w:szCs w:val="27"/>
        </w:rPr>
        <w:t>5.1.3.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5E20D582">
      <w:pPr>
        <w:spacing w:before="100" w:beforeAutospacing="1" w:after="100" w:afterAutospacing="1"/>
        <w:rPr>
          <w:color w:val="000000"/>
          <w:sz w:val="27"/>
          <w:szCs w:val="27"/>
        </w:rPr>
      </w:pPr>
      <w:r>
        <w:rPr>
          <w:color w:val="000000"/>
          <w:sz w:val="27"/>
          <w:szCs w:val="27"/>
        </w:rPr>
        <w:t> 5.2.       Prazo de pagamento</w:t>
      </w:r>
    </w:p>
    <w:p w14:paraId="2CABC414">
      <w:pPr>
        <w:spacing w:before="244" w:line="240" w:lineRule="atLeast"/>
        <w:ind w:left="119" w:right="118"/>
        <w:rPr>
          <w:color w:val="000000"/>
          <w:sz w:val="27"/>
          <w:szCs w:val="27"/>
        </w:rPr>
      </w:pPr>
      <w:r>
        <w:rPr>
          <w:color w:val="000000"/>
          <w:sz w:val="27"/>
          <w:szCs w:val="27"/>
        </w:rPr>
        <w:t>5.2.1.  O pagamento será efetuado em até 30 (trinta) dias as contados do adimplemento, da entrega dos bens e emissão da nota fiscal.</w:t>
      </w:r>
    </w:p>
    <w:p w14:paraId="548E03AA">
      <w:pPr>
        <w:spacing w:before="80" w:line="240" w:lineRule="atLeast"/>
        <w:ind w:left="120" w:right="118"/>
        <w:rPr>
          <w:color w:val="000000"/>
          <w:sz w:val="27"/>
          <w:szCs w:val="27"/>
        </w:rPr>
      </w:pPr>
      <w:r>
        <w:rPr>
          <w:color w:val="000000"/>
          <w:sz w:val="27"/>
          <w:szCs w:val="27"/>
        </w:rPr>
        <w:t>5.2.2.   Os documentos fiscais deverão, obrigatoriamente, discriminar as publicações efetuadas, o quantitativo de cm/coluna, valores de cada uma destas e valor total.</w:t>
      </w:r>
    </w:p>
    <w:p w14:paraId="672F66C6">
      <w:pPr>
        <w:spacing w:before="100" w:beforeAutospacing="1" w:after="100" w:afterAutospacing="1"/>
        <w:rPr>
          <w:color w:val="000000"/>
          <w:sz w:val="27"/>
          <w:szCs w:val="27"/>
        </w:rPr>
      </w:pPr>
      <w:r>
        <w:rPr>
          <w:color w:val="000000"/>
          <w:sz w:val="27"/>
          <w:szCs w:val="27"/>
        </w:rPr>
        <w:t>5.2.3.  A Contratada deverá emitir a Nota Fiscal/Fatura conforme legislação vigente.</w:t>
      </w:r>
    </w:p>
    <w:p w14:paraId="2086A7DA">
      <w:pPr>
        <w:spacing w:before="100" w:beforeAutospacing="1" w:after="100" w:afterAutospacing="1"/>
        <w:rPr>
          <w:color w:val="000000"/>
          <w:sz w:val="27"/>
          <w:szCs w:val="27"/>
        </w:rPr>
      </w:pPr>
      <w:r>
        <w:rPr>
          <w:color w:val="000000"/>
          <w:sz w:val="27"/>
          <w:szCs w:val="27"/>
        </w:rPr>
        <w:t>5.2.4.  Havendo irregularidades na emissão da nota fiscal/fatura, o prazo para pagamento será contado a partir de sua representação devidamente regularizada.</w:t>
      </w:r>
    </w:p>
    <w:p w14:paraId="68E21B94">
      <w:pPr>
        <w:spacing w:before="100" w:beforeAutospacing="1" w:after="100" w:afterAutospacing="1"/>
        <w:rPr>
          <w:color w:val="000000"/>
          <w:sz w:val="27"/>
          <w:szCs w:val="27"/>
        </w:rPr>
      </w:pPr>
      <w:r>
        <w:rPr>
          <w:color w:val="000000"/>
          <w:sz w:val="27"/>
          <w:szCs w:val="27"/>
        </w:rPr>
        <w:t>5.3.       Forma de pagamento</w:t>
      </w:r>
    </w:p>
    <w:p w14:paraId="4548DE3F">
      <w:pPr>
        <w:spacing w:before="244" w:line="240" w:lineRule="atLeast"/>
        <w:ind w:left="120" w:right="118"/>
        <w:rPr>
          <w:color w:val="000000"/>
          <w:sz w:val="27"/>
          <w:szCs w:val="27"/>
        </w:rPr>
      </w:pPr>
      <w:r>
        <w:rPr>
          <w:color w:val="000000"/>
          <w:sz w:val="27"/>
          <w:szCs w:val="27"/>
        </w:rPr>
        <w:t>5.3.1.  O pagamento será processado com a emissão de ordem de pagamento física ou eletrônica, ou ainda por transferência eletrônica via sistema de internet banking, com assinaturas legais físicas ou eletrônicas dos titulares das contas bancárias.</w:t>
      </w:r>
    </w:p>
    <w:p w14:paraId="1782FCCB">
      <w:pPr>
        <w:spacing w:before="243" w:line="240" w:lineRule="atLeast"/>
        <w:ind w:left="120" w:right="118"/>
        <w:rPr>
          <w:color w:val="000000"/>
          <w:sz w:val="27"/>
          <w:szCs w:val="27"/>
        </w:rPr>
      </w:pPr>
      <w:r>
        <w:rPr>
          <w:color w:val="000000"/>
          <w:sz w:val="27"/>
          <w:szCs w:val="27"/>
        </w:rPr>
        <w:t>5.3.2.   A retenção do imposto de renda deverá ser destacada no corpo do documento fiscal ou equivalente observando os percentuais estabelecidos no ANEXO I da IN RFB Nº 1234 de 2012 de acordo com o artigo 1º, §1º do Decreto Municipal 18.272/23 e Portaria SMFA nº 11/2023 c/c §5º, artigo 2º da IN RFB Nº 1234.</w:t>
      </w:r>
    </w:p>
    <w:p w14:paraId="1728AC6C">
      <w:pPr>
        <w:spacing w:before="244" w:line="240" w:lineRule="atLeast"/>
        <w:ind w:left="120" w:right="117"/>
        <w:rPr>
          <w:color w:val="000000"/>
          <w:sz w:val="27"/>
          <w:szCs w:val="27"/>
        </w:rPr>
      </w:pPr>
      <w:r>
        <w:rPr>
          <w:color w:val="000000"/>
          <w:sz w:val="27"/>
          <w:szCs w:val="27"/>
        </w:rPr>
        <w:t>5.3.3.   As empresas optantes pelo Simples Nacional ou que se enquadrem em alguma hipótese de isenção ou não incidência DEVERÃO informar essa condição expressamente nos documentos fiscais, de acordo com o artigo 4º da IN RFB Nº 1234.</w:t>
      </w:r>
    </w:p>
    <w:p w14:paraId="0E6B7950">
      <w:pPr>
        <w:spacing w:before="100" w:beforeAutospacing="1" w:after="100" w:afterAutospacing="1"/>
        <w:rPr>
          <w:color w:val="000000"/>
          <w:sz w:val="27"/>
          <w:szCs w:val="27"/>
        </w:rPr>
      </w:pPr>
      <w:r>
        <w:rPr>
          <w:b/>
          <w:bCs/>
          <w:color w:val="000000"/>
          <w:sz w:val="27"/>
          <w:szCs w:val="27"/>
        </w:rPr>
        <w:t> 6.  FORMA E CRITÉRIOS DE SELEÇÃO DO FORNECEDOR</w:t>
      </w:r>
    </w:p>
    <w:p w14:paraId="4C19AFE1">
      <w:pPr>
        <w:spacing w:before="100" w:beforeAutospacing="1" w:after="100" w:afterAutospacing="1"/>
        <w:rPr>
          <w:color w:val="000000"/>
          <w:sz w:val="27"/>
          <w:szCs w:val="27"/>
        </w:rPr>
      </w:pPr>
      <w:r>
        <w:rPr>
          <w:b/>
          <w:bCs/>
          <w:color w:val="000000"/>
          <w:sz w:val="27"/>
          <w:szCs w:val="27"/>
        </w:rPr>
        <w:t> </w:t>
      </w:r>
      <w:r>
        <w:rPr>
          <w:color w:val="000000"/>
          <w:sz w:val="27"/>
          <w:szCs w:val="27"/>
        </w:rPr>
        <w:t>6.1.       Forma de seleção e critério de julgamento da proposta</w:t>
      </w:r>
    </w:p>
    <w:p w14:paraId="107D1EF6">
      <w:pPr>
        <w:spacing w:before="244" w:line="240" w:lineRule="atLeast"/>
        <w:ind w:left="120" w:right="117"/>
        <w:rPr>
          <w:color w:val="000000"/>
          <w:sz w:val="27"/>
          <w:szCs w:val="27"/>
        </w:rPr>
      </w:pPr>
      <w:r>
        <w:rPr>
          <w:color w:val="000000"/>
          <w:sz w:val="27"/>
          <w:szCs w:val="27"/>
        </w:rPr>
        <w:t>6.1.1.   O fornecedor será selecionado por meio da realização de procedimento de licitação, na modalidade </w:t>
      </w:r>
      <w:r>
        <w:rPr>
          <w:b/>
          <w:bCs/>
          <w:color w:val="000000"/>
          <w:sz w:val="27"/>
          <w:szCs w:val="27"/>
        </w:rPr>
        <w:t>PREGÃO ELETRÔNICO </w:t>
      </w:r>
      <w:r>
        <w:rPr>
          <w:color w:val="000000"/>
          <w:sz w:val="27"/>
          <w:szCs w:val="27"/>
        </w:rPr>
        <w:t>, sob a forma </w:t>
      </w:r>
      <w:r>
        <w:rPr>
          <w:b/>
          <w:bCs/>
          <w:color w:val="000000"/>
          <w:sz w:val="27"/>
          <w:szCs w:val="27"/>
        </w:rPr>
        <w:t>ELETRÔNICA</w:t>
      </w:r>
      <w:r>
        <w:rPr>
          <w:color w:val="000000"/>
          <w:sz w:val="27"/>
          <w:szCs w:val="27"/>
        </w:rPr>
        <w:t>, com adoção do critério de julgamento pelo </w:t>
      </w:r>
      <w:r>
        <w:rPr>
          <w:b/>
          <w:bCs/>
          <w:color w:val="000000"/>
          <w:sz w:val="27"/>
          <w:szCs w:val="27"/>
        </w:rPr>
        <w:t>MENOR PREÇO.</w:t>
      </w:r>
    </w:p>
    <w:p w14:paraId="2B197D23">
      <w:pPr>
        <w:spacing w:before="100" w:beforeAutospacing="1" w:after="100" w:afterAutospacing="1"/>
        <w:rPr>
          <w:color w:val="000000"/>
          <w:sz w:val="27"/>
          <w:szCs w:val="27"/>
        </w:rPr>
      </w:pPr>
      <w:r>
        <w:rPr>
          <w:b/>
          <w:bCs/>
          <w:color w:val="000000"/>
          <w:sz w:val="27"/>
          <w:szCs w:val="27"/>
        </w:rPr>
        <w:t> </w:t>
      </w:r>
      <w:r>
        <w:rPr>
          <w:color w:val="000000"/>
          <w:sz w:val="27"/>
          <w:szCs w:val="27"/>
        </w:rPr>
        <w:t>6.2.       Exigências de habilitação</w:t>
      </w:r>
    </w:p>
    <w:p w14:paraId="0BE28348">
      <w:pPr>
        <w:spacing w:before="244"/>
        <w:ind w:left="120"/>
        <w:rPr>
          <w:color w:val="000000"/>
          <w:sz w:val="27"/>
          <w:szCs w:val="27"/>
        </w:rPr>
      </w:pPr>
      <w:r>
        <w:rPr>
          <w:color w:val="000000"/>
          <w:sz w:val="27"/>
          <w:szCs w:val="27"/>
        </w:rPr>
        <w:t>Para fins de habilitação, deverá o licitante comprovar os seguintes requisitos:</w:t>
      </w:r>
    </w:p>
    <w:p w14:paraId="0BD31349">
      <w:pPr>
        <w:spacing w:before="100" w:beforeAutospacing="1" w:after="100" w:afterAutospacing="1"/>
        <w:rPr>
          <w:color w:val="000000"/>
          <w:sz w:val="27"/>
          <w:szCs w:val="27"/>
        </w:rPr>
      </w:pPr>
      <w:r>
        <w:rPr>
          <w:color w:val="000000"/>
          <w:sz w:val="27"/>
          <w:szCs w:val="27"/>
        </w:rPr>
        <w:t> 6.2.1.  Habilitação jurídica</w:t>
      </w:r>
    </w:p>
    <w:p w14:paraId="3B979EDA">
      <w:pPr>
        <w:spacing w:before="244" w:line="240" w:lineRule="atLeast"/>
        <w:ind w:left="120" w:right="117"/>
        <w:rPr>
          <w:color w:val="000000"/>
          <w:sz w:val="27"/>
          <w:szCs w:val="27"/>
        </w:rPr>
      </w:pPr>
      <w:r>
        <w:rPr>
          <w:color w:val="000000"/>
          <w:sz w:val="27"/>
          <w:szCs w:val="27"/>
        </w:rPr>
        <w:t>a)     Registro no Registro Público de Empresas Mercantis, em se tratando de empresário individual ou sociedade empresária.</w:t>
      </w:r>
    </w:p>
    <w:p w14:paraId="42B5E80A">
      <w:pPr>
        <w:spacing w:before="243"/>
        <w:ind w:left="379"/>
        <w:rPr>
          <w:color w:val="000000"/>
          <w:sz w:val="27"/>
          <w:szCs w:val="27"/>
        </w:rPr>
      </w:pPr>
      <w:r>
        <w:rPr>
          <w:color w:val="000000"/>
          <w:sz w:val="27"/>
          <w:szCs w:val="27"/>
        </w:rPr>
        <w:t>b)  Registro no Registro Civil das Pessoas Jurídicas, em se tratando de sociedade simples.</w:t>
      </w:r>
    </w:p>
    <w:p w14:paraId="57938F1D">
      <w:pPr>
        <w:spacing w:before="244"/>
        <w:ind w:left="379"/>
        <w:rPr>
          <w:color w:val="000000"/>
          <w:sz w:val="27"/>
          <w:szCs w:val="27"/>
        </w:rPr>
      </w:pPr>
      <w:r>
        <w:rPr>
          <w:color w:val="000000"/>
          <w:sz w:val="27"/>
          <w:szCs w:val="27"/>
        </w:rPr>
        <w:t>c)   Ato Constitutivo, Estatuto ou Contrato Social em vigor, devidamente registrado no órgão correspondente, indicando os atuais responsáveis pela administração.</w:t>
      </w:r>
    </w:p>
    <w:p w14:paraId="52E63050">
      <w:pPr>
        <w:spacing w:before="244" w:line="240" w:lineRule="atLeast"/>
        <w:ind w:right="118"/>
        <w:rPr>
          <w:color w:val="000000"/>
          <w:sz w:val="27"/>
          <w:szCs w:val="27"/>
        </w:rPr>
      </w:pPr>
      <w:r>
        <w:rPr>
          <w:color w:val="000000"/>
          <w:sz w:val="27"/>
          <w:szCs w:val="27"/>
        </w:rPr>
        <w:t>c.1)   caso os responsáveis não constem no Contrato Social, documento que indique a responsabilidade pela administração.</w:t>
      </w:r>
    </w:p>
    <w:p w14:paraId="63D852AA">
      <w:pPr>
        <w:spacing w:before="242" w:line="240" w:lineRule="atLeast"/>
        <w:ind w:right="117"/>
        <w:rPr>
          <w:color w:val="000000"/>
          <w:sz w:val="27"/>
          <w:szCs w:val="27"/>
        </w:rPr>
      </w:pPr>
      <w:r>
        <w:rPr>
          <w:color w:val="000000"/>
          <w:sz w:val="27"/>
          <w:szCs w:val="27"/>
        </w:rPr>
        <w:t>d)    Cópia da ata da assembleia geral ou da reunião do conselho de administração atinente à eleição e ao mandato dos atuais administradores, evidenciando o devido registro na junta comercial pertinente ou a publicação prevista na Lei nº 6.404/76 e suas alterações, no caso de sociedades anônimas.</w:t>
      </w:r>
    </w:p>
    <w:p w14:paraId="7CE82948">
      <w:pPr>
        <w:spacing w:before="244" w:line="240" w:lineRule="atLeast"/>
        <w:ind w:right="118"/>
        <w:rPr>
          <w:color w:val="000000"/>
          <w:sz w:val="27"/>
          <w:szCs w:val="27"/>
        </w:rPr>
      </w:pPr>
      <w:r>
        <w:rPr>
          <w:color w:val="000000"/>
          <w:sz w:val="27"/>
          <w:szCs w:val="27"/>
        </w:rPr>
        <w:t>e)   Cópia do decreto de autorização para que se estabeleçam no país e ato de registro ou autorização para funcionamento expedido pelo órgão competente, no caso de empresas ou sociedades estrangeiras.</w:t>
      </w:r>
    </w:p>
    <w:p w14:paraId="7184B414">
      <w:pPr>
        <w:spacing w:before="242"/>
        <w:rPr>
          <w:color w:val="000000"/>
          <w:sz w:val="27"/>
          <w:szCs w:val="27"/>
        </w:rPr>
      </w:pPr>
      <w:r>
        <w:rPr>
          <w:color w:val="000000"/>
          <w:sz w:val="27"/>
          <w:szCs w:val="27"/>
        </w:rPr>
        <w:t>f)  Registro da empresa ou pessoa física no Conselho Regional de Contabilidade, em plena validade;</w:t>
      </w:r>
    </w:p>
    <w:p w14:paraId="0AFD461A">
      <w:pPr>
        <w:spacing w:before="244" w:line="240" w:lineRule="atLeast"/>
        <w:ind w:right="117"/>
        <w:rPr>
          <w:color w:val="000000"/>
          <w:sz w:val="27"/>
          <w:szCs w:val="27"/>
        </w:rPr>
      </w:pPr>
      <w:r>
        <w:rPr>
          <w:color w:val="000000"/>
          <w:sz w:val="27"/>
          <w:szCs w:val="27"/>
        </w:rPr>
        <w:t>g)   Registro do Responsável Técnico no Conselho Regional de Contabilidade, em plena validade, no caso de pessoa jurídica.</w:t>
      </w:r>
    </w:p>
    <w:p w14:paraId="3176F70A">
      <w:pPr>
        <w:spacing w:before="120" w:after="120"/>
        <w:ind w:left="120" w:right="120" w:firstLine="1699"/>
        <w:jc w:val="both"/>
        <w:rPr>
          <w:color w:val="000000"/>
          <w:sz w:val="24"/>
          <w:szCs w:val="24"/>
        </w:rPr>
      </w:pPr>
      <w:r>
        <w:rPr>
          <w:b/>
          <w:bCs/>
          <w:color w:val="000000"/>
          <w:sz w:val="24"/>
          <w:szCs w:val="24"/>
        </w:rPr>
        <w:t> 6.2.2  Regularidade fiscal, social e trabalhista</w:t>
      </w:r>
    </w:p>
    <w:p w14:paraId="3BEFF8D3">
      <w:pPr>
        <w:spacing w:before="100" w:beforeAutospacing="1" w:after="100" w:afterAutospacing="1"/>
        <w:rPr>
          <w:color w:val="000000"/>
          <w:sz w:val="27"/>
          <w:szCs w:val="27"/>
        </w:rPr>
      </w:pPr>
      <w:r>
        <w:rPr>
          <w:color w:val="000000"/>
          <w:sz w:val="27"/>
          <w:szCs w:val="27"/>
        </w:rPr>
        <w:t>a)                        Prova de inscrição no Cadastro Nacional de Pessoa Jurídica do Ministério da Fazenda (CNPJ/MF).</w:t>
      </w:r>
    </w:p>
    <w:p w14:paraId="0029875B">
      <w:pPr>
        <w:spacing w:before="4" w:line="240" w:lineRule="atLeast"/>
        <w:ind w:right="118"/>
        <w:rPr>
          <w:color w:val="000000"/>
          <w:sz w:val="27"/>
          <w:szCs w:val="27"/>
        </w:rPr>
      </w:pPr>
      <w:r>
        <w:rPr>
          <w:color w:val="000000"/>
          <w:sz w:val="27"/>
          <w:szCs w:val="27"/>
        </w:rPr>
        <w:t>b)                           Prova de Regularidade para com a Fazenda Federal, através da apresentação da Certidão Conjunta Negativa de Débitos Relativos a Tributos Federais e a Dívida Ativa da União, expedida pela Procuradoria Geral da Fazenda Nacional em conjunto com a Secretaria da Receita Federal, que abrange, inclusive, as contribuições sociais previstas nas alíneas de “a” a “d”, do parágrafo único, do artigo 11, da Lei nº 8.212/91.</w:t>
      </w:r>
    </w:p>
    <w:p w14:paraId="543A5339">
      <w:pPr>
        <w:spacing w:before="5" w:line="240" w:lineRule="atLeast"/>
        <w:ind w:right="117"/>
        <w:rPr>
          <w:color w:val="000000"/>
          <w:sz w:val="27"/>
          <w:szCs w:val="27"/>
        </w:rPr>
      </w:pPr>
      <w:r>
        <w:rPr>
          <w:color w:val="000000"/>
          <w:sz w:val="27"/>
          <w:szCs w:val="27"/>
        </w:rPr>
        <w:t>c)                                 Prova de Regularidade para com a Fazenda Estadual, através da apresentação de Certidão de Regularidade de Tributos Estaduais expedida pela Secretaria de Estado de Fazenda ou Distrito Federal, e da Certidão da Divida Ativa Estadual comprovando a inexistência de débitos inscritos.</w:t>
      </w:r>
    </w:p>
    <w:p w14:paraId="5C978F25">
      <w:pPr>
        <w:spacing w:before="4" w:line="240" w:lineRule="atLeast"/>
        <w:ind w:right="118"/>
        <w:rPr>
          <w:color w:val="000000"/>
          <w:sz w:val="27"/>
          <w:szCs w:val="27"/>
        </w:rPr>
      </w:pPr>
      <w:r>
        <w:rPr>
          <w:color w:val="000000"/>
          <w:sz w:val="27"/>
          <w:szCs w:val="27"/>
        </w:rPr>
        <w:t>c.1)   As Certidões da Divida Ativa, no caso de empresas sediadas no Estado do Rio de Janeiro, deverão ser as expedidas pela Procuradoria Geral do Estado (PGE).</w:t>
      </w:r>
    </w:p>
    <w:p w14:paraId="3D5B53B6">
      <w:pPr>
        <w:spacing w:before="2" w:line="240" w:lineRule="atLeast"/>
        <w:ind w:right="118"/>
        <w:jc w:val="both"/>
        <w:rPr>
          <w:color w:val="000000"/>
          <w:sz w:val="27"/>
          <w:szCs w:val="27"/>
        </w:rPr>
      </w:pPr>
      <w:r>
        <w:rPr>
          <w:color w:val="000000"/>
          <w:sz w:val="27"/>
          <w:szCs w:val="27"/>
        </w:rPr>
        <w:t>c.2.) Para as empresas não sediadas no Estado do Rio de Janeiro, o documento emitido pela Fazenda Estadual ou do Distrito Federal, do domicilio ou sede do licitante deverá comprovar a inexistência tanto de débitos inscritos quanto de não inscritos na Divida Ativa ou demonstrar de outra forma documental tal situação fiscal, podendo, para tanto, estar acompanhado de legislação específica ou informação oficial do órgão fazendário.</w:t>
      </w:r>
    </w:p>
    <w:p w14:paraId="73A73BB7">
      <w:pPr>
        <w:spacing w:before="7" w:line="240" w:lineRule="atLeast"/>
        <w:ind w:right="118"/>
        <w:rPr>
          <w:color w:val="000000"/>
          <w:sz w:val="27"/>
          <w:szCs w:val="27"/>
        </w:rPr>
      </w:pPr>
      <w:r>
        <w:rPr>
          <w:color w:val="000000"/>
          <w:sz w:val="27"/>
          <w:szCs w:val="27"/>
        </w:rPr>
        <w:t>d)                         Prova de Regularidade para com a Fazenda Municipal (Certidão Negativa de Débitos), do domicilio ou sede da empresa licitante.</w:t>
      </w:r>
    </w:p>
    <w:p w14:paraId="71AACA12">
      <w:pPr>
        <w:spacing w:before="2" w:line="240" w:lineRule="atLeast"/>
        <w:ind w:right="118"/>
        <w:rPr>
          <w:color w:val="000000"/>
          <w:sz w:val="27"/>
          <w:szCs w:val="27"/>
        </w:rPr>
      </w:pPr>
      <w:r>
        <w:rPr>
          <w:color w:val="000000"/>
          <w:sz w:val="27"/>
          <w:szCs w:val="27"/>
        </w:rPr>
        <w:t>e)                                 Certificado de Regularidade de Situação perante o Fundo de Garantia por Tempo de Serviço (FGTS), expedido pela Caixa Econômica Federal.</w:t>
      </w:r>
    </w:p>
    <w:p w14:paraId="401718A3">
      <w:pPr>
        <w:spacing w:before="7" w:after="120"/>
        <w:ind w:left="120" w:right="120" w:firstLine="1699"/>
        <w:jc w:val="both"/>
        <w:rPr>
          <w:color w:val="000000"/>
          <w:sz w:val="24"/>
          <w:szCs w:val="24"/>
        </w:rPr>
      </w:pPr>
      <w:r>
        <w:rPr>
          <w:color w:val="000000"/>
          <w:sz w:val="24"/>
          <w:szCs w:val="24"/>
        </w:rPr>
        <w:t> </w:t>
      </w:r>
    </w:p>
    <w:p w14:paraId="5119080B">
      <w:pPr>
        <w:spacing w:line="240" w:lineRule="atLeast"/>
        <w:ind w:right="118"/>
        <w:jc w:val="both"/>
        <w:rPr>
          <w:color w:val="000000"/>
          <w:sz w:val="27"/>
          <w:szCs w:val="27"/>
        </w:rPr>
      </w:pPr>
      <w:r>
        <w:rPr>
          <w:color w:val="000000"/>
          <w:sz w:val="27"/>
          <w:szCs w:val="27"/>
        </w:rPr>
        <w:t>Obs.: As "certidões negativas" poderão ser substituídas por "certidões positivas com efeito de negativas" ou outra(s) equivalente(s) na forma da lei.</w:t>
      </w:r>
    </w:p>
    <w:p w14:paraId="48567E3D">
      <w:pPr>
        <w:spacing w:before="246" w:after="120"/>
        <w:ind w:left="120" w:right="120" w:firstLine="1699"/>
        <w:jc w:val="both"/>
        <w:rPr>
          <w:color w:val="000000"/>
          <w:sz w:val="24"/>
          <w:szCs w:val="24"/>
        </w:rPr>
      </w:pPr>
      <w:r>
        <w:rPr>
          <w:color w:val="000000"/>
          <w:sz w:val="24"/>
          <w:szCs w:val="24"/>
        </w:rPr>
        <w:t> 6.2.3            Qualificação Econômico-Financeira</w:t>
      </w:r>
    </w:p>
    <w:p w14:paraId="3935C7BF">
      <w:pPr>
        <w:spacing w:before="244" w:line="240" w:lineRule="atLeast"/>
        <w:ind w:right="118"/>
        <w:jc w:val="both"/>
        <w:rPr>
          <w:color w:val="000000"/>
          <w:sz w:val="27"/>
          <w:szCs w:val="27"/>
        </w:rPr>
      </w:pPr>
      <w:r>
        <w:rPr>
          <w:color w:val="000000"/>
          <w:sz w:val="27"/>
          <w:szCs w:val="27"/>
        </w:rPr>
        <w:t>a)             Certidão Negativa de Falência, Concordata ou Recuperação Judicial, expedida pelo distribuidor da sede da pessoa jurídica a menos de 90 (noventa) dias da data estabelecida na Introdução deste Edital para a realização da sessão do Pregão Eletrônico, exceto quando dela constar o prazo de validade.</w:t>
      </w:r>
    </w:p>
    <w:p w14:paraId="5F3CBF34">
      <w:pPr>
        <w:spacing w:before="8" w:after="120"/>
        <w:ind w:left="120" w:right="120" w:firstLine="1699"/>
        <w:jc w:val="both"/>
        <w:rPr>
          <w:color w:val="000000"/>
          <w:sz w:val="24"/>
          <w:szCs w:val="24"/>
        </w:rPr>
      </w:pPr>
      <w:r>
        <w:rPr>
          <w:color w:val="000000"/>
          <w:sz w:val="24"/>
          <w:szCs w:val="24"/>
        </w:rPr>
        <w:t> </w:t>
      </w:r>
    </w:p>
    <w:p w14:paraId="38801F68">
      <w:pPr>
        <w:spacing w:before="100" w:beforeAutospacing="1" w:after="100" w:afterAutospacing="1"/>
        <w:jc w:val="both"/>
        <w:rPr>
          <w:color w:val="000000"/>
          <w:sz w:val="27"/>
          <w:szCs w:val="27"/>
        </w:rPr>
      </w:pPr>
      <w:r>
        <w:rPr>
          <w:color w:val="000000"/>
          <w:sz w:val="27"/>
          <w:szCs w:val="27"/>
        </w:rPr>
        <w:t>Obs.1: Para o licitante sediado no Município de Valença - RJ esta comprovação será feita mediante apresentação de Certidão expedida pelo Cartório Único de Registro de Distribuição;</w:t>
      </w:r>
    </w:p>
    <w:p w14:paraId="2641B9BE">
      <w:pPr>
        <w:spacing w:before="7" w:after="120"/>
        <w:ind w:left="120" w:right="120" w:firstLine="1699"/>
        <w:jc w:val="both"/>
        <w:rPr>
          <w:color w:val="000000"/>
          <w:sz w:val="24"/>
          <w:szCs w:val="24"/>
        </w:rPr>
      </w:pPr>
      <w:r>
        <w:rPr>
          <w:color w:val="000000"/>
          <w:sz w:val="24"/>
          <w:szCs w:val="24"/>
        </w:rPr>
        <w:t> </w:t>
      </w:r>
    </w:p>
    <w:p w14:paraId="427F6326">
      <w:pPr>
        <w:spacing w:before="1" w:line="240" w:lineRule="atLeast"/>
        <w:ind w:right="117"/>
        <w:jc w:val="both"/>
        <w:rPr>
          <w:color w:val="000000"/>
          <w:sz w:val="27"/>
          <w:szCs w:val="27"/>
        </w:rPr>
      </w:pPr>
      <w:r>
        <w:rPr>
          <w:color w:val="000000"/>
          <w:sz w:val="27"/>
          <w:szCs w:val="27"/>
        </w:rPr>
        <w:t>Obs.2: O licitante sediado em outra Comarca ou Estado, deverá apresentar, juntamente com a(s) Certidão(ões) exigida(s), declaração passada pelo foro de sua sede ou qualquer outro documento idôneo que indique os cartórios ou ofícios de registro que controlam a distribuição dos pedidos de falências e concordatas.</w:t>
      </w:r>
    </w:p>
    <w:p w14:paraId="2C0B7A54">
      <w:pPr>
        <w:spacing w:before="8" w:after="120"/>
        <w:ind w:left="120" w:right="120" w:firstLine="1699"/>
        <w:jc w:val="both"/>
        <w:rPr>
          <w:color w:val="000000"/>
          <w:sz w:val="24"/>
          <w:szCs w:val="24"/>
        </w:rPr>
      </w:pPr>
      <w:r>
        <w:rPr>
          <w:color w:val="000000"/>
          <w:sz w:val="24"/>
          <w:szCs w:val="24"/>
        </w:rPr>
        <w:t> </w:t>
      </w:r>
    </w:p>
    <w:p w14:paraId="4F60B3F8">
      <w:pPr>
        <w:spacing w:before="1" w:line="240" w:lineRule="atLeast"/>
        <w:ind w:right="117"/>
        <w:jc w:val="both"/>
        <w:rPr>
          <w:color w:val="000000"/>
          <w:sz w:val="27"/>
          <w:szCs w:val="27"/>
        </w:rPr>
      </w:pPr>
      <w:r>
        <w:rPr>
          <w:color w:val="000000"/>
          <w:sz w:val="27"/>
          <w:szCs w:val="27"/>
        </w:rPr>
        <w:t>Obs.3: Não será causa de inabilitação do licitante a anotação de distribuição de processo de recuperação judicial ou de pedido de homologação de recuperação extrajudicial, caso seja comprovado, no momento da entrega da documentação exigida no presente subitem, que o plano de recuperação já foi aprovado ou homologado pelo Juízo competente.</w:t>
      </w:r>
    </w:p>
    <w:p w14:paraId="4BE50790">
      <w:pPr>
        <w:spacing w:before="120" w:after="120"/>
        <w:ind w:left="120" w:right="120" w:firstLine="1699"/>
        <w:jc w:val="both"/>
        <w:rPr>
          <w:color w:val="000000"/>
          <w:sz w:val="24"/>
          <w:szCs w:val="24"/>
        </w:rPr>
      </w:pPr>
      <w:r>
        <w:rPr>
          <w:color w:val="000000"/>
          <w:sz w:val="24"/>
          <w:szCs w:val="24"/>
        </w:rPr>
        <w:t> 6.2.4. Qualificação Técnica</w:t>
      </w:r>
    </w:p>
    <w:p w14:paraId="2C5FEA51">
      <w:pPr>
        <w:spacing w:before="244" w:line="240" w:lineRule="atLeast"/>
        <w:ind w:right="117"/>
        <w:jc w:val="both"/>
        <w:rPr>
          <w:color w:val="000000"/>
          <w:sz w:val="27"/>
          <w:szCs w:val="27"/>
        </w:rPr>
      </w:pPr>
      <w:r>
        <w:rPr>
          <w:color w:val="000000"/>
          <w:sz w:val="27"/>
          <w:szCs w:val="27"/>
        </w:rPr>
        <w:t>a) Prova de capacidade técnica, mediante apresentação de certidão(ões) ou atestado(s) fornecido(s) por pessoas jurídicas de direito público ou privado, demonstrando fornecimento de produto pertinente e compatível com o objeto deste Termo de Referência.</w:t>
      </w:r>
    </w:p>
    <w:p w14:paraId="76ACF871">
      <w:pPr>
        <w:spacing w:before="4" w:line="240" w:lineRule="atLeast"/>
        <w:ind w:right="118"/>
        <w:jc w:val="both"/>
        <w:rPr>
          <w:color w:val="000000"/>
          <w:sz w:val="27"/>
          <w:szCs w:val="27"/>
        </w:rPr>
      </w:pPr>
      <w:r>
        <w:rPr>
          <w:color w:val="000000"/>
          <w:sz w:val="27"/>
          <w:szCs w:val="27"/>
        </w:rPr>
        <w:t>Obs: A(s) certidão(ões) ou atestado(s) deverá(ão) ser datado(s) e assinado(s) por pessoa física identificada pelo seu nome e cargo em exercício na entidade/empresa, bem como dados para eventual contato.</w:t>
      </w:r>
    </w:p>
    <w:p w14:paraId="53631C4F">
      <w:pPr>
        <w:spacing w:before="4" w:line="240" w:lineRule="atLeast"/>
        <w:ind w:right="118"/>
        <w:jc w:val="both"/>
        <w:rPr>
          <w:color w:val="000000"/>
          <w:sz w:val="27"/>
          <w:szCs w:val="27"/>
        </w:rPr>
      </w:pPr>
    </w:p>
    <w:p w14:paraId="64C41124">
      <w:pPr>
        <w:spacing w:before="120" w:after="120"/>
        <w:ind w:right="120"/>
        <w:jc w:val="both"/>
        <w:rPr>
          <w:color w:val="000000"/>
          <w:sz w:val="24"/>
          <w:szCs w:val="24"/>
        </w:rPr>
      </w:pPr>
      <w:r>
        <w:rPr>
          <w:color w:val="000000"/>
          <w:sz w:val="24"/>
          <w:szCs w:val="24"/>
        </w:rPr>
        <w:t> </w:t>
      </w:r>
      <w:r>
        <w:rPr>
          <w:b/>
          <w:bCs/>
          <w:color w:val="000000"/>
          <w:sz w:val="24"/>
          <w:szCs w:val="24"/>
        </w:rPr>
        <w:t>7.  OBRIGAÇÕES ESPECÍFICAS DAS PARTES</w:t>
      </w:r>
    </w:p>
    <w:p w14:paraId="50D2894A">
      <w:pPr>
        <w:spacing w:before="120" w:after="120"/>
        <w:ind w:left="120" w:right="120" w:firstLine="1699"/>
        <w:jc w:val="both"/>
        <w:rPr>
          <w:color w:val="000000"/>
          <w:sz w:val="24"/>
          <w:szCs w:val="24"/>
        </w:rPr>
      </w:pPr>
      <w:r>
        <w:rPr>
          <w:b/>
          <w:bCs/>
          <w:color w:val="000000"/>
          <w:sz w:val="24"/>
          <w:szCs w:val="24"/>
        </w:rPr>
        <w:t> </w:t>
      </w:r>
      <w:r>
        <w:rPr>
          <w:color w:val="000000"/>
          <w:sz w:val="24"/>
          <w:szCs w:val="24"/>
        </w:rPr>
        <w:t>7.1.       Das obrigações do Contratado</w:t>
      </w:r>
    </w:p>
    <w:p w14:paraId="37E9B559">
      <w:pPr>
        <w:spacing w:before="244" w:line="240" w:lineRule="atLeast"/>
        <w:ind w:right="117"/>
        <w:rPr>
          <w:color w:val="000000"/>
          <w:sz w:val="27"/>
          <w:szCs w:val="27"/>
        </w:rPr>
      </w:pPr>
      <w:r>
        <w:rPr>
          <w:color w:val="000000"/>
          <w:sz w:val="27"/>
          <w:szCs w:val="27"/>
        </w:rPr>
        <w:t>7.1.1.   Cumprir todas as obrigações constantes deste instrumento e seus anexos, nas quantidades, prazos e condições pactuadas.</w:t>
      </w:r>
    </w:p>
    <w:p w14:paraId="1BDEEC87">
      <w:pPr>
        <w:spacing w:before="243" w:line="240" w:lineRule="atLeast"/>
        <w:ind w:right="118"/>
        <w:rPr>
          <w:color w:val="000000"/>
          <w:sz w:val="27"/>
          <w:szCs w:val="27"/>
        </w:rPr>
      </w:pPr>
      <w:r>
        <w:rPr>
          <w:color w:val="000000"/>
          <w:sz w:val="27"/>
          <w:szCs w:val="27"/>
        </w:rPr>
        <w:t>7.1.2.     Entregar os bens de acordo com as especificações constantes no subitem 1.1. deste Termo de Referência.</w:t>
      </w:r>
    </w:p>
    <w:p w14:paraId="5224BEAC">
      <w:pPr>
        <w:spacing w:before="242" w:line="240" w:lineRule="atLeast"/>
        <w:ind w:right="117"/>
        <w:rPr>
          <w:color w:val="000000"/>
          <w:sz w:val="27"/>
          <w:szCs w:val="27"/>
        </w:rPr>
      </w:pPr>
      <w:r>
        <w:rPr>
          <w:color w:val="000000"/>
          <w:sz w:val="27"/>
          <w:szCs w:val="27"/>
        </w:rPr>
        <w:t>7.1.3.         Providenciar a imediata correção das irregularidades apontadas pelo Contratante, quanto à execução do fornecimento.</w:t>
      </w:r>
    </w:p>
    <w:p w14:paraId="66B3BF33">
      <w:pPr>
        <w:spacing w:before="100" w:beforeAutospacing="1" w:after="100" w:afterAutospacing="1"/>
        <w:rPr>
          <w:color w:val="000000"/>
          <w:sz w:val="27"/>
          <w:szCs w:val="27"/>
        </w:rPr>
      </w:pPr>
      <w:r>
        <w:rPr>
          <w:color w:val="000000"/>
          <w:sz w:val="27"/>
          <w:szCs w:val="27"/>
        </w:rPr>
        <w:t>7.1.4.        Garantir a boa qualidade dos produtos entregues.</w:t>
      </w:r>
    </w:p>
    <w:p w14:paraId="18BAE4E4">
      <w:pPr>
        <w:spacing w:before="100" w:beforeAutospacing="1" w:after="100" w:afterAutospacing="1"/>
        <w:rPr>
          <w:color w:val="000000"/>
          <w:sz w:val="27"/>
          <w:szCs w:val="27"/>
        </w:rPr>
      </w:pPr>
      <w:r>
        <w:rPr>
          <w:color w:val="000000"/>
          <w:sz w:val="27"/>
          <w:szCs w:val="27"/>
        </w:rPr>
        <w:t>7.1.5.        Atender, no prazo máximo de 30 dias úteis, a convocação para retirada das Notas de Empenho.</w:t>
      </w:r>
    </w:p>
    <w:p w14:paraId="54EBBEBE">
      <w:pPr>
        <w:spacing w:before="244" w:line="240" w:lineRule="atLeast"/>
        <w:ind w:right="117"/>
        <w:rPr>
          <w:color w:val="000000"/>
          <w:sz w:val="27"/>
          <w:szCs w:val="27"/>
        </w:rPr>
      </w:pPr>
      <w:r>
        <w:rPr>
          <w:color w:val="000000"/>
          <w:sz w:val="27"/>
          <w:szCs w:val="27"/>
        </w:rPr>
        <w:t>7.1.6.           Manter, durante toda a execução do contrato, em compatibilidade com as obrigações assumidas, todas as condições exigidas para a habilitação na licitação em cumprimento ao disposto no Inciso XVI do artigo 92 da Lei nº 14.133, de 2021.</w:t>
      </w:r>
    </w:p>
    <w:p w14:paraId="73015689">
      <w:pPr>
        <w:spacing w:before="244" w:line="240" w:lineRule="atLeast"/>
        <w:ind w:right="118"/>
        <w:rPr>
          <w:color w:val="000000"/>
          <w:sz w:val="27"/>
          <w:szCs w:val="27"/>
        </w:rPr>
      </w:pPr>
      <w:r>
        <w:rPr>
          <w:color w:val="000000"/>
          <w:sz w:val="27"/>
          <w:szCs w:val="27"/>
        </w:rPr>
        <w:t>7.1.7.          Responsabilizar-se por todos e quaisquer danos e/ou prejuízos que vier causar ao Contratante ou a terceiros, por sua culpa ou dolo, na pessoa de preposto ou terceiros a seu serviço, não excluindo ou reduzindo essa responsabilidade a fiscalização ou o acompanhamento pelo Contratante.</w:t>
      </w:r>
    </w:p>
    <w:p w14:paraId="1561CBF8">
      <w:pPr>
        <w:spacing w:before="243" w:line="240" w:lineRule="atLeast"/>
        <w:ind w:right="118"/>
        <w:rPr>
          <w:color w:val="000000"/>
          <w:sz w:val="27"/>
          <w:szCs w:val="27"/>
        </w:rPr>
      </w:pPr>
      <w:r>
        <w:rPr>
          <w:color w:val="000000"/>
          <w:sz w:val="27"/>
          <w:szCs w:val="27"/>
        </w:rPr>
        <w:t>7.1.8.           Responsabilizar-se pelos salários, encargos sociais, previdenciários, securitários, taxas, impostos e quaisquer outros que incidam ou venham a incidir sobre seu pessoal necessário à execução deste contrato.</w:t>
      </w:r>
    </w:p>
    <w:p w14:paraId="63DAA8DB">
      <w:pPr>
        <w:spacing w:before="80" w:line="240" w:lineRule="atLeast"/>
        <w:ind w:right="118"/>
        <w:rPr>
          <w:color w:val="000000"/>
          <w:sz w:val="27"/>
          <w:szCs w:val="27"/>
        </w:rPr>
      </w:pPr>
      <w:r>
        <w:rPr>
          <w:color w:val="000000"/>
          <w:sz w:val="27"/>
          <w:szCs w:val="27"/>
        </w:rPr>
        <w:t>7.1.9.           Apresentar sempre que solicitado pelo Contratante, comprovação de cumprimento das obrigações tributárias e sociais, legalmente exigíveis.</w:t>
      </w:r>
    </w:p>
    <w:p w14:paraId="568CC980">
      <w:pPr>
        <w:spacing w:before="100" w:beforeAutospacing="1" w:after="100" w:afterAutospacing="1"/>
        <w:rPr>
          <w:color w:val="000000"/>
          <w:sz w:val="27"/>
          <w:szCs w:val="27"/>
        </w:rPr>
      </w:pPr>
      <w:r>
        <w:rPr>
          <w:color w:val="000000"/>
          <w:sz w:val="27"/>
          <w:szCs w:val="27"/>
        </w:rPr>
        <w:t>7.1.10.    Submeter-se às normas e determinações do Contratante no que se referem à execução deste contrato.</w:t>
      </w:r>
    </w:p>
    <w:p w14:paraId="721B1B93">
      <w:pPr>
        <w:spacing w:before="100" w:beforeAutospacing="1" w:after="100" w:afterAutospacing="1"/>
        <w:rPr>
          <w:color w:val="000000"/>
          <w:sz w:val="27"/>
          <w:szCs w:val="27"/>
        </w:rPr>
      </w:pPr>
      <w:r>
        <w:rPr>
          <w:color w:val="000000"/>
          <w:sz w:val="27"/>
          <w:szCs w:val="27"/>
        </w:rPr>
        <w:t> 7.2.       Das obrigações do Contratante</w:t>
      </w:r>
    </w:p>
    <w:p w14:paraId="14FDBBB5">
      <w:pPr>
        <w:spacing w:before="100" w:beforeAutospacing="1" w:after="100" w:afterAutospacing="1"/>
        <w:rPr>
          <w:color w:val="000000"/>
          <w:sz w:val="27"/>
          <w:szCs w:val="27"/>
        </w:rPr>
      </w:pPr>
      <w:r>
        <w:rPr>
          <w:color w:val="000000"/>
          <w:sz w:val="27"/>
          <w:szCs w:val="27"/>
        </w:rPr>
        <w:t>7.2.1.        Acompanhar e fiscalizar a execução do fornecimento contratado.</w:t>
      </w:r>
    </w:p>
    <w:p w14:paraId="6516D868">
      <w:pPr>
        <w:spacing w:before="244" w:line="240" w:lineRule="atLeast"/>
        <w:ind w:left="120" w:right="118"/>
        <w:rPr>
          <w:color w:val="000000"/>
          <w:sz w:val="27"/>
          <w:szCs w:val="27"/>
        </w:rPr>
      </w:pPr>
      <w:r>
        <w:rPr>
          <w:color w:val="000000"/>
          <w:sz w:val="27"/>
          <w:szCs w:val="27"/>
        </w:rPr>
        <w:t>7.2.2.            Fiscalizar a manutenção pelo Contratado, das condições de habilitação exigidas neste Termo de Referência, durante toda a execução do contrato, em cumprimento ao disposto no Inciso XVI do artigo 92 da Lei nº 14.133, de 2021.</w:t>
      </w:r>
    </w:p>
    <w:p w14:paraId="3878FCD3">
      <w:pPr>
        <w:spacing w:before="100" w:beforeAutospacing="1" w:after="100" w:afterAutospacing="1"/>
        <w:rPr>
          <w:color w:val="000000"/>
          <w:sz w:val="27"/>
          <w:szCs w:val="27"/>
        </w:rPr>
      </w:pPr>
      <w:r>
        <w:rPr>
          <w:color w:val="000000"/>
          <w:sz w:val="27"/>
          <w:szCs w:val="27"/>
        </w:rPr>
        <w:t>7.2.3.        Pagar no vencimento a fatura apresentada pelo Contratado correspondente aos bens adquiridos.</w:t>
      </w:r>
    </w:p>
    <w:p w14:paraId="14880BD6">
      <w:pPr>
        <w:spacing w:before="100" w:beforeAutospacing="1" w:after="100" w:afterAutospacing="1"/>
        <w:rPr>
          <w:color w:val="000000"/>
          <w:sz w:val="27"/>
          <w:szCs w:val="27"/>
        </w:rPr>
      </w:pPr>
      <w:r>
        <w:rPr>
          <w:color w:val="000000"/>
          <w:sz w:val="27"/>
          <w:szCs w:val="27"/>
        </w:rPr>
        <w:t> 7.2.4.             Notificar o Contratado, por escrito, fixando-lhe prazo para corrigir defeitos ou irregularidades encontradas na execução do fornecimento.</w:t>
      </w:r>
    </w:p>
    <w:p w14:paraId="423ADAC6">
      <w:pPr>
        <w:spacing w:before="100" w:beforeAutospacing="1" w:after="100" w:afterAutospacing="1"/>
        <w:rPr>
          <w:color w:val="000000"/>
          <w:sz w:val="27"/>
          <w:szCs w:val="27"/>
        </w:rPr>
      </w:pPr>
      <w:r>
        <w:rPr>
          <w:b/>
          <w:bCs/>
          <w:color w:val="000000"/>
          <w:sz w:val="27"/>
          <w:szCs w:val="27"/>
        </w:rPr>
        <w:t> 8.  DAS SANÇÕES ADMINISTRATIVAS</w:t>
      </w:r>
    </w:p>
    <w:p w14:paraId="66E7A316">
      <w:pPr>
        <w:spacing w:before="242"/>
        <w:ind w:left="480"/>
        <w:rPr>
          <w:color w:val="000000"/>
          <w:sz w:val="27"/>
          <w:szCs w:val="27"/>
        </w:rPr>
      </w:pPr>
      <w:r>
        <w:rPr>
          <w:color w:val="000000"/>
          <w:sz w:val="27"/>
          <w:szCs w:val="27"/>
        </w:rPr>
        <w:t>8.1  - Comete infração administrativa nos termos da Lei nº 14.133, de 2021, a Contratada que:</w:t>
      </w:r>
    </w:p>
    <w:p w14:paraId="5F6875EE">
      <w:pPr>
        <w:spacing w:before="100" w:beforeAutospacing="1" w:after="100" w:afterAutospacing="1"/>
        <w:ind w:left="660"/>
        <w:rPr>
          <w:color w:val="000000"/>
          <w:sz w:val="27"/>
          <w:szCs w:val="27"/>
        </w:rPr>
      </w:pPr>
      <w:r>
        <w:rPr>
          <w:color w:val="000000"/>
          <w:sz w:val="27"/>
          <w:szCs w:val="27"/>
        </w:rPr>
        <w:t>8.1.1  - inexecutar total ou parcialmente qualquer das obrigações assumidas em decorrência da contratação;</w:t>
      </w:r>
    </w:p>
    <w:p w14:paraId="45811DBA">
      <w:pPr>
        <w:spacing w:before="100" w:beforeAutospacing="1" w:after="100" w:afterAutospacing="1"/>
        <w:ind w:left="959"/>
        <w:rPr>
          <w:color w:val="000000"/>
          <w:sz w:val="27"/>
          <w:szCs w:val="27"/>
        </w:rPr>
      </w:pPr>
      <w:r>
        <w:rPr>
          <w:color w:val="000000"/>
          <w:sz w:val="27"/>
          <w:szCs w:val="27"/>
        </w:rPr>
        <w:t>8.1.2            - ensejar o retardamento da execução do objeto;</w:t>
      </w:r>
    </w:p>
    <w:p w14:paraId="055E427D">
      <w:pPr>
        <w:spacing w:before="100" w:beforeAutospacing="1" w:after="100" w:afterAutospacing="1"/>
        <w:ind w:left="959"/>
        <w:rPr>
          <w:color w:val="000000"/>
          <w:sz w:val="27"/>
          <w:szCs w:val="27"/>
        </w:rPr>
      </w:pPr>
      <w:r>
        <w:rPr>
          <w:color w:val="000000"/>
          <w:sz w:val="27"/>
          <w:szCs w:val="27"/>
        </w:rPr>
        <w:t>8.1.3            - fraudar na execução do contrato;</w:t>
      </w:r>
    </w:p>
    <w:p w14:paraId="0C2967B1">
      <w:pPr>
        <w:spacing w:before="100" w:beforeAutospacing="1" w:after="100" w:afterAutospacing="1"/>
        <w:ind w:left="959"/>
        <w:rPr>
          <w:color w:val="000000"/>
          <w:sz w:val="27"/>
          <w:szCs w:val="27"/>
        </w:rPr>
      </w:pPr>
      <w:r>
        <w:rPr>
          <w:color w:val="000000"/>
          <w:sz w:val="27"/>
          <w:szCs w:val="27"/>
        </w:rPr>
        <w:t>8.1.4            - comportar-se de modo inidôneo;</w:t>
      </w:r>
    </w:p>
    <w:p w14:paraId="2B7BA035">
      <w:pPr>
        <w:spacing w:before="100" w:beforeAutospacing="1" w:after="100" w:afterAutospacing="1"/>
        <w:ind w:left="959"/>
        <w:rPr>
          <w:color w:val="000000"/>
          <w:sz w:val="27"/>
          <w:szCs w:val="27"/>
        </w:rPr>
      </w:pPr>
      <w:r>
        <w:rPr>
          <w:color w:val="000000"/>
          <w:sz w:val="27"/>
          <w:szCs w:val="27"/>
        </w:rPr>
        <w:t>8.1.5            - cometer fraude fiscal;</w:t>
      </w:r>
    </w:p>
    <w:p w14:paraId="40BDDFDB">
      <w:pPr>
        <w:spacing w:before="100" w:beforeAutospacing="1" w:after="100" w:afterAutospacing="1"/>
        <w:ind w:left="959"/>
        <w:rPr>
          <w:color w:val="000000"/>
          <w:sz w:val="27"/>
          <w:szCs w:val="27"/>
        </w:rPr>
      </w:pPr>
      <w:r>
        <w:rPr>
          <w:color w:val="000000"/>
          <w:sz w:val="27"/>
          <w:szCs w:val="27"/>
        </w:rPr>
        <w:t>8.1.6            - não mantiver a proposta.</w:t>
      </w:r>
    </w:p>
    <w:p w14:paraId="4F419CCA">
      <w:pPr>
        <w:spacing w:before="2" w:line="240" w:lineRule="atLeast"/>
        <w:ind w:left="120" w:right="118"/>
        <w:rPr>
          <w:color w:val="000000"/>
          <w:sz w:val="27"/>
          <w:szCs w:val="27"/>
        </w:rPr>
      </w:pPr>
      <w:r>
        <w:rPr>
          <w:color w:val="000000"/>
          <w:sz w:val="27"/>
          <w:szCs w:val="27"/>
        </w:rPr>
        <w:t>8.2   - A Contratada que cometer qualquer das infrações discriminadas no subitem acima ficará sujeita, sem prejuízo da responsabilidade civil e criminal, às previstas na Lei 14133, de 2021.</w:t>
      </w:r>
    </w:p>
    <w:p w14:paraId="2328CF1F">
      <w:pPr>
        <w:spacing w:before="122" w:line="240" w:lineRule="atLeast"/>
        <w:ind w:left="120" w:right="118"/>
        <w:rPr>
          <w:color w:val="000000"/>
          <w:sz w:val="27"/>
          <w:szCs w:val="27"/>
        </w:rPr>
      </w:pPr>
      <w:r>
        <w:rPr>
          <w:color w:val="000000"/>
          <w:sz w:val="27"/>
          <w:szCs w:val="27"/>
        </w:rPr>
        <w:t>8.3     - A aplicação de qualquer das penalidades previstas realizar-se-á em processo administrativo que assegurará o contraditório e a ampla defesa à Contratada, observando-se o procedimento previsto na Lei nº 14.133, de 2021.</w:t>
      </w:r>
    </w:p>
    <w:p w14:paraId="6F9E94A7">
      <w:pPr>
        <w:spacing w:before="122"/>
        <w:ind w:left="120" w:right="117"/>
        <w:rPr>
          <w:color w:val="000000"/>
          <w:sz w:val="27"/>
          <w:szCs w:val="27"/>
        </w:rPr>
      </w:pPr>
      <w:r>
        <w:rPr>
          <w:color w:val="000000"/>
          <w:sz w:val="27"/>
          <w:szCs w:val="27"/>
        </w:rPr>
        <w:t>8.4   - A autoridade competente, na aplicação das sanções, levará em consideração a gravidade da conduta do infrator, o caráter educativo da pena, bem como o dano causado à Administração, observado o princípio da proporcionalidade.</w:t>
      </w:r>
    </w:p>
    <w:p w14:paraId="31B9B3F2">
      <w:pPr>
        <w:spacing w:before="120"/>
        <w:ind w:left="480"/>
        <w:rPr>
          <w:color w:val="000000"/>
          <w:sz w:val="27"/>
          <w:szCs w:val="27"/>
        </w:rPr>
      </w:pPr>
      <w:r>
        <w:rPr>
          <w:color w:val="000000"/>
          <w:sz w:val="27"/>
          <w:szCs w:val="27"/>
        </w:rPr>
        <w:t>8.5  - As penalidades serão obrigatoriamente registradas no SICAF e nos demais sistemas.</w:t>
      </w:r>
    </w:p>
    <w:p w14:paraId="3C390655">
      <w:pPr>
        <w:spacing w:before="100" w:beforeAutospacing="1" w:after="100" w:afterAutospacing="1"/>
        <w:rPr>
          <w:color w:val="000000"/>
          <w:sz w:val="27"/>
          <w:szCs w:val="27"/>
        </w:rPr>
      </w:pPr>
      <w:r>
        <w:rPr>
          <w:b/>
          <w:bCs/>
          <w:color w:val="000000"/>
          <w:sz w:val="27"/>
          <w:szCs w:val="27"/>
        </w:rPr>
        <w:t> 9.      ESTIMATIVAS DO VALOR DA CONTRATAÇÃO</w:t>
      </w:r>
    </w:p>
    <w:p w14:paraId="72B4C64A">
      <w:pPr>
        <w:spacing w:before="1" w:after="100" w:afterAutospacing="1"/>
        <w:rPr>
          <w:color w:val="000000"/>
          <w:sz w:val="27"/>
          <w:szCs w:val="27"/>
        </w:rPr>
      </w:pPr>
      <w:r>
        <w:rPr>
          <w:color w:val="000000"/>
          <w:sz w:val="27"/>
          <w:szCs w:val="27"/>
        </w:rPr>
        <w:t>O custo estimado total da contratação é de R$ 168.200,00 ( cento e sessenta e oito mil e duzentos reais)</w:t>
      </w:r>
    </w:p>
    <w:p w14:paraId="1C27F5CD">
      <w:pPr>
        <w:spacing w:before="244" w:line="240" w:lineRule="atLeast"/>
        <w:ind w:left="120" w:right="118"/>
        <w:rPr>
          <w:color w:val="000000"/>
          <w:sz w:val="27"/>
          <w:szCs w:val="27"/>
        </w:rPr>
      </w:pPr>
      <w:r>
        <w:rPr>
          <w:color w:val="000000"/>
          <w:sz w:val="27"/>
          <w:szCs w:val="27"/>
        </w:rPr>
        <w:t>9.1.                , conforme valores apostos na tabela disposta no item 1. O valor global foi baseado em orçamentos recebidos das empresas que comercializam os produtos e serviços.</w:t>
      </w:r>
    </w:p>
    <w:p w14:paraId="0B272A3F">
      <w:pPr>
        <w:spacing w:before="244" w:line="240" w:lineRule="atLeast"/>
        <w:ind w:left="120" w:right="118"/>
        <w:rPr>
          <w:color w:val="000000"/>
          <w:sz w:val="27"/>
          <w:szCs w:val="27"/>
        </w:rPr>
      </w:pPr>
    </w:p>
    <w:p w14:paraId="440D891F">
      <w:pPr>
        <w:spacing w:before="120" w:after="120"/>
        <w:ind w:right="120"/>
        <w:jc w:val="both"/>
        <w:rPr>
          <w:color w:val="000000"/>
          <w:sz w:val="27"/>
          <w:szCs w:val="27"/>
        </w:rPr>
      </w:pPr>
      <w:r>
        <w:rPr>
          <w:b/>
          <w:bCs/>
          <w:color w:val="000000"/>
          <w:sz w:val="27"/>
          <w:szCs w:val="27"/>
        </w:rPr>
        <w:t>10.  ADEQUAÇÃO ORÇAMENTÁRIA</w:t>
      </w:r>
    </w:p>
    <w:p w14:paraId="56524752">
      <w:pPr>
        <w:spacing w:before="244" w:line="240" w:lineRule="atLeast"/>
        <w:ind w:right="118"/>
        <w:rPr>
          <w:color w:val="000000"/>
          <w:sz w:val="27"/>
          <w:szCs w:val="27"/>
        </w:rPr>
      </w:pPr>
      <w:r>
        <w:rPr>
          <w:color w:val="000000"/>
          <w:sz w:val="27"/>
          <w:szCs w:val="27"/>
        </w:rPr>
        <w:t>10.1.            As despesas decorrentes do presente procedimento serão acobertadas pelas seguintes dotações orçamentárias:</w:t>
      </w:r>
    </w:p>
    <w:p w14:paraId="2D87058F">
      <w:pPr>
        <w:spacing w:before="242" w:line="240" w:lineRule="atLeast"/>
        <w:ind w:right="118"/>
        <w:rPr>
          <w:color w:val="000000"/>
          <w:sz w:val="27"/>
          <w:szCs w:val="27"/>
        </w:rPr>
      </w:pPr>
      <w:r>
        <w:rPr>
          <w:color w:val="000000"/>
          <w:sz w:val="27"/>
          <w:szCs w:val="27"/>
        </w:rPr>
        <w:t>10.2.           A dotação relativa aos exercícios financeiros subsequentes será indicada após aprovação da Lei Orçamentária respectiva e liberação dos créditos correspondentes, mediante apostilamento.</w:t>
      </w:r>
    </w:p>
    <w:p w14:paraId="2FED0096">
      <w:pPr>
        <w:spacing w:before="120" w:after="120"/>
        <w:ind w:left="120" w:right="120" w:firstLine="1699"/>
        <w:jc w:val="both"/>
        <w:rPr>
          <w:color w:val="000000"/>
          <w:sz w:val="27"/>
          <w:szCs w:val="27"/>
        </w:rPr>
      </w:pPr>
      <w:r>
        <w:rPr>
          <w:color w:val="000000"/>
          <w:sz w:val="27"/>
          <w:szCs w:val="27"/>
        </w:rPr>
        <w:t> </w:t>
      </w:r>
    </w:p>
    <w:p w14:paraId="323C58D4">
      <w:pPr>
        <w:spacing w:before="210" w:after="120"/>
        <w:ind w:left="120" w:right="120"/>
        <w:jc w:val="both"/>
        <w:rPr>
          <w:color w:val="000000"/>
          <w:sz w:val="27"/>
          <w:szCs w:val="27"/>
        </w:rPr>
      </w:pPr>
      <w:r>
        <w:rPr>
          <w:b/>
          <w:bCs/>
          <w:color w:val="000000"/>
          <w:sz w:val="27"/>
          <w:szCs w:val="27"/>
        </w:rPr>
        <w:t>11.    UNIDADE RESPONSÁVEL PELO ACOMPANHAMENTO/FISCALIZAÇÃO:</w:t>
      </w:r>
    </w:p>
    <w:p w14:paraId="50288ACA">
      <w:pPr>
        <w:spacing w:before="244"/>
        <w:rPr>
          <w:color w:val="000000"/>
          <w:sz w:val="27"/>
          <w:szCs w:val="27"/>
        </w:rPr>
      </w:pPr>
      <w:r>
        <w:rPr>
          <w:color w:val="000000"/>
          <w:sz w:val="27"/>
          <w:szCs w:val="27"/>
        </w:rPr>
        <w:t>Secretaria Municipal de Assistência Esporte e Envelhecimento Saudável.</w:t>
      </w:r>
    </w:p>
    <w:p w14:paraId="4B7DE0E9">
      <w:pPr>
        <w:spacing w:before="288" w:beforeLines="120" w:after="288" w:afterLines="120" w:line="288" w:lineRule="auto"/>
        <w:contextualSpacing/>
        <w:jc w:val="center"/>
        <w:rPr>
          <w:rFonts w:eastAsia="MS Mincho" w:asciiTheme="minorHAnsi" w:hAnsiTheme="minorHAnsi" w:cstheme="minorHAnsi"/>
          <w:b/>
          <w:sz w:val="24"/>
          <w:szCs w:val="24"/>
        </w:rPr>
      </w:pPr>
    </w:p>
    <w:p w14:paraId="3A7EC6F2">
      <w:pPr>
        <w:spacing w:before="288" w:beforeLines="120" w:after="288" w:afterLines="120" w:line="288" w:lineRule="auto"/>
        <w:contextualSpacing/>
        <w:jc w:val="center"/>
        <w:rPr>
          <w:rFonts w:eastAsia="MS Mincho" w:asciiTheme="minorHAnsi" w:hAnsiTheme="minorHAnsi" w:cstheme="minorHAnsi"/>
          <w:b/>
          <w:sz w:val="24"/>
          <w:szCs w:val="24"/>
        </w:rPr>
      </w:pPr>
    </w:p>
    <w:p w14:paraId="3B7EF6BD">
      <w:pPr>
        <w:spacing w:before="288" w:beforeLines="120" w:after="288" w:afterLines="120" w:line="288" w:lineRule="auto"/>
        <w:contextualSpacing/>
        <w:jc w:val="center"/>
        <w:rPr>
          <w:rFonts w:eastAsia="MS Mincho"/>
          <w:b/>
          <w:sz w:val="24"/>
          <w:szCs w:val="24"/>
        </w:rPr>
      </w:pPr>
      <w:r>
        <w:rPr>
          <w:rFonts w:eastAsia="MS Mincho"/>
          <w:b/>
          <w:sz w:val="24"/>
          <w:szCs w:val="24"/>
        </w:rPr>
        <w:t xml:space="preserve">ANEXO II </w:t>
      </w:r>
    </w:p>
    <w:p w14:paraId="78183181">
      <w:pPr>
        <w:spacing w:before="288" w:beforeLines="120" w:after="288" w:afterLines="120" w:line="288" w:lineRule="auto"/>
        <w:contextualSpacing/>
        <w:jc w:val="center"/>
        <w:rPr>
          <w:rFonts w:eastAsia="MS Mincho" w:asciiTheme="minorHAnsi" w:hAnsiTheme="minorHAnsi" w:cstheme="minorHAnsi"/>
          <w:b/>
          <w:sz w:val="24"/>
          <w:szCs w:val="24"/>
        </w:rPr>
      </w:pPr>
    </w:p>
    <w:p w14:paraId="1F4FC2AD">
      <w:pPr>
        <w:spacing w:before="288" w:beforeLines="120" w:after="288" w:afterLines="120" w:line="288" w:lineRule="auto"/>
        <w:contextualSpacing/>
        <w:jc w:val="center"/>
        <w:rPr>
          <w:rFonts w:eastAsia="MS Mincho"/>
          <w:b/>
          <w:sz w:val="24"/>
          <w:szCs w:val="24"/>
          <w:u w:val="single"/>
        </w:rPr>
      </w:pPr>
      <w:r>
        <w:rPr>
          <w:rFonts w:eastAsia="MS Mincho"/>
          <w:b/>
          <w:sz w:val="24"/>
          <w:szCs w:val="24"/>
          <w:highlight w:val="yellow"/>
          <w:u w:val="single"/>
        </w:rPr>
        <w:t>ESTUDO TÉCNICO PRELIMINAR</w:t>
      </w:r>
    </w:p>
    <w:p w14:paraId="32C271A1">
      <w:pPr>
        <w:spacing w:before="288" w:beforeLines="120" w:after="288" w:afterLines="120" w:line="288" w:lineRule="auto"/>
        <w:contextualSpacing/>
        <w:jc w:val="center"/>
        <w:rPr>
          <w:rFonts w:eastAsia="MS Mincho"/>
          <w:b/>
          <w:sz w:val="24"/>
          <w:szCs w:val="24"/>
          <w:u w:val="single"/>
        </w:rPr>
      </w:pPr>
    </w:p>
    <w:p w14:paraId="3CA14F34">
      <w:pPr>
        <w:spacing w:before="288" w:beforeLines="120" w:after="288" w:afterLines="120" w:line="288" w:lineRule="auto"/>
        <w:contextualSpacing/>
        <w:rPr>
          <w:rFonts w:eastAsia="MS Mincho"/>
          <w:b/>
          <w:sz w:val="24"/>
          <w:szCs w:val="24"/>
          <w:u w:val="single"/>
        </w:rPr>
      </w:pPr>
    </w:p>
    <w:p w14:paraId="0E70D541">
      <w:pPr>
        <w:pStyle w:val="19"/>
        <w:spacing w:before="0" w:beforeAutospacing="0" w:after="0" w:afterAutospacing="0"/>
      </w:pPr>
      <w:r>
        <w:t xml:space="preserve">Órgão: Prefeitura Municipal de Valença </w:t>
      </w:r>
    </w:p>
    <w:p w14:paraId="5CAD3190">
      <w:pPr>
        <w:pStyle w:val="19"/>
        <w:spacing w:before="0" w:beforeAutospacing="0" w:after="0" w:afterAutospacing="0"/>
      </w:pPr>
      <w:r>
        <w:t xml:space="preserve">Unidade Demandante: Secretaria Municipal de Assistência Social </w:t>
      </w:r>
    </w:p>
    <w:p w14:paraId="571BF057">
      <w:pPr>
        <w:pStyle w:val="19"/>
        <w:spacing w:before="0" w:beforeAutospacing="0" w:after="0" w:afterAutospacing="0"/>
      </w:pPr>
      <w:r>
        <w:t xml:space="preserve">Responsável: Rodrigo Furtado da Silva </w:t>
      </w:r>
    </w:p>
    <w:p w14:paraId="18F5C1F1">
      <w:pPr>
        <w:pStyle w:val="19"/>
        <w:spacing w:before="0" w:beforeAutospacing="0" w:after="0" w:afterAutospacing="0"/>
      </w:pPr>
    </w:p>
    <w:p w14:paraId="7BB3E1BB">
      <w:pPr>
        <w:pStyle w:val="19"/>
        <w:numPr>
          <w:ilvl w:val="0"/>
          <w:numId w:val="6"/>
        </w:numPr>
        <w:spacing w:before="0" w:beforeAutospacing="0" w:after="0" w:afterAutospacing="0"/>
        <w:rPr>
          <w:b/>
        </w:rPr>
      </w:pPr>
      <w:r>
        <w:rPr>
          <w:b/>
        </w:rPr>
        <w:t xml:space="preserve">DESCRIÇÃO DA NECESSIDADE </w:t>
      </w:r>
    </w:p>
    <w:p w14:paraId="69D2AA66">
      <w:pPr>
        <w:pStyle w:val="19"/>
        <w:spacing w:before="0" w:beforeAutospacing="0" w:after="0" w:afterAutospacing="0"/>
        <w:ind w:left="360"/>
      </w:pPr>
    </w:p>
    <w:p w14:paraId="38E2612F">
      <w:pPr>
        <w:pStyle w:val="19"/>
        <w:spacing w:before="0" w:beforeAutospacing="0" w:after="0" w:afterAutospacing="0"/>
        <w:ind w:left="360"/>
      </w:pPr>
      <w:r>
        <w:t xml:space="preserve">O presente Estudo Técnico Preliminar tem por finalidade demonstrar a necessidade de contratação para aquisição de urnas mortuárias, destinadas ao atendimento de famílias em situação de vulnerabilidade social, no âmbito da concessão de benefícios eventuais (auxílio funeral). A demanda possui natureza essencial, contínua e imprevisível, uma vez que está diretamente vinculada à ocorrência de óbitos, não sendo possível definir com exatidão o momento e a intensidade das solicitações. </w:t>
      </w:r>
    </w:p>
    <w:p w14:paraId="6746886A">
      <w:pPr>
        <w:pStyle w:val="19"/>
        <w:spacing w:before="0" w:beforeAutospacing="0" w:after="0" w:afterAutospacing="0"/>
        <w:ind w:left="360"/>
      </w:pPr>
    </w:p>
    <w:p w14:paraId="5716A6AD">
      <w:pPr>
        <w:pStyle w:val="19"/>
        <w:numPr>
          <w:ilvl w:val="0"/>
          <w:numId w:val="6"/>
        </w:numPr>
        <w:spacing w:before="0" w:beforeAutospacing="0" w:after="0" w:afterAutospacing="0"/>
        <w:rPr>
          <w:b/>
        </w:rPr>
      </w:pPr>
      <w:r>
        <w:rPr>
          <w:b/>
        </w:rPr>
        <w:t xml:space="preserve">FUNDAMENTAÇÃO LEGAL </w:t>
      </w:r>
    </w:p>
    <w:p w14:paraId="031B5C7E">
      <w:pPr>
        <w:pStyle w:val="19"/>
        <w:spacing w:before="0" w:beforeAutospacing="0" w:after="0" w:afterAutospacing="0"/>
        <w:ind w:left="360"/>
      </w:pPr>
    </w:p>
    <w:p w14:paraId="7747139E">
      <w:pPr>
        <w:pStyle w:val="19"/>
        <w:spacing w:before="0" w:beforeAutospacing="0" w:after="0" w:afterAutospacing="0"/>
        <w:ind w:left="360"/>
      </w:pPr>
      <w:r>
        <w:t xml:space="preserve">A contratação fundamenta-se em: </w:t>
      </w:r>
    </w:p>
    <w:p w14:paraId="62E8509B">
      <w:pPr>
        <w:pStyle w:val="19"/>
        <w:spacing w:before="0" w:beforeAutospacing="0" w:after="0" w:afterAutospacing="0"/>
        <w:ind w:left="360"/>
      </w:pPr>
      <w:r>
        <w:rPr/>
        <w:sym w:font="Symbol" w:char="F0B7"/>
      </w:r>
      <w:r>
        <w:t xml:space="preserve"> Constituição Federal – art. 203; </w:t>
      </w:r>
    </w:p>
    <w:p w14:paraId="3948ABC2">
      <w:pPr>
        <w:pStyle w:val="19"/>
        <w:spacing w:before="0" w:beforeAutospacing="0" w:after="0" w:afterAutospacing="0"/>
        <w:ind w:left="360"/>
      </w:pPr>
      <w:r>
        <w:rPr/>
        <w:sym w:font="Symbol" w:char="F0B7"/>
      </w:r>
      <w:r>
        <w:t xml:space="preserve"> Lei nº 8.742/1993 (LOAS);</w:t>
      </w:r>
    </w:p>
    <w:p w14:paraId="7D26A704">
      <w:pPr>
        <w:pStyle w:val="19"/>
        <w:spacing w:before="0" w:beforeAutospacing="0" w:after="0" w:afterAutospacing="0"/>
        <w:ind w:left="360"/>
      </w:pPr>
      <w:r>
        <w:t xml:space="preserve"> </w:t>
      </w:r>
      <w:r>
        <w:rPr/>
        <w:sym w:font="Symbol" w:char="F0B7"/>
      </w:r>
      <w:r>
        <w:t xml:space="preserve"> Resolução CNAS nº 39/2010; </w:t>
      </w:r>
    </w:p>
    <w:p w14:paraId="34CB5010">
      <w:pPr>
        <w:pStyle w:val="19"/>
        <w:spacing w:before="0" w:beforeAutospacing="0" w:after="0" w:afterAutospacing="0"/>
        <w:ind w:left="360"/>
      </w:pPr>
      <w:r>
        <w:rPr/>
        <w:sym w:font="Symbol" w:char="F0B7"/>
      </w:r>
      <w:r>
        <w:t xml:space="preserve"> Lei nº 14.133/2021; </w:t>
      </w:r>
    </w:p>
    <w:p w14:paraId="022A7356">
      <w:pPr>
        <w:pStyle w:val="19"/>
        <w:spacing w:before="0" w:beforeAutospacing="0" w:after="0" w:afterAutospacing="0"/>
        <w:ind w:left="360"/>
      </w:pPr>
      <w:r>
        <w:rPr/>
        <w:sym w:font="Symbol" w:char="F0B7"/>
      </w:r>
      <w:r>
        <w:t xml:space="preserve"> Artigos aplicáveis ao Sistema de Registro de Preços (art. 82 a 86 da Lei 14.133). </w:t>
      </w:r>
    </w:p>
    <w:p w14:paraId="31974BBD"/>
    <w:p w14:paraId="6909F7F4"/>
    <w:p w14:paraId="1461A069">
      <w:pPr>
        <w:pStyle w:val="34"/>
        <w:numPr>
          <w:ilvl w:val="0"/>
          <w:numId w:val="6"/>
        </w:numPr>
        <w:rPr>
          <w:b/>
          <w:sz w:val="24"/>
          <w:szCs w:val="24"/>
        </w:rPr>
      </w:pPr>
      <w:r>
        <w:rPr>
          <w:b/>
          <w:sz w:val="24"/>
          <w:szCs w:val="24"/>
        </w:rPr>
        <w:t xml:space="preserve">JUSTIFICATIVA PARA UTILIZAÇÃO DO SISTEMA DE REGISTRO DE PREÇOS (SRP) </w:t>
      </w:r>
    </w:p>
    <w:p w14:paraId="402BF4E4">
      <w:pPr>
        <w:rPr>
          <w:sz w:val="24"/>
          <w:szCs w:val="24"/>
        </w:rPr>
      </w:pPr>
    </w:p>
    <w:p w14:paraId="50AEBBFD">
      <w:pPr>
        <w:rPr>
          <w:sz w:val="24"/>
          <w:szCs w:val="24"/>
        </w:rPr>
      </w:pPr>
      <w:r>
        <w:rPr>
          <w:sz w:val="24"/>
          <w:szCs w:val="24"/>
        </w:rPr>
        <w:t>A adoção do Sistema de Registro de Preços justifica-se pelas seguintes características da demanda:</w:t>
      </w:r>
    </w:p>
    <w:p w14:paraId="7D09ACA7">
      <w:pPr>
        <w:rPr>
          <w:sz w:val="24"/>
          <w:szCs w:val="24"/>
        </w:rPr>
      </w:pPr>
    </w:p>
    <w:p w14:paraId="650408B4">
      <w:pPr>
        <w:pStyle w:val="34"/>
        <w:numPr>
          <w:ilvl w:val="1"/>
          <w:numId w:val="6"/>
        </w:numPr>
        <w:rPr>
          <w:sz w:val="24"/>
          <w:szCs w:val="24"/>
        </w:rPr>
      </w:pPr>
      <w:r>
        <w:rPr>
          <w:sz w:val="24"/>
          <w:szCs w:val="24"/>
        </w:rPr>
        <w:t xml:space="preserve">Natureza imprevisível da demanda Os quantitativos não podem ser plenamente definidos, pois dependem de eventos incertos (óbitos), o que inviabiliza contratação com execução integral imediata. </w:t>
      </w:r>
    </w:p>
    <w:p w14:paraId="6B6FE794">
      <w:pPr>
        <w:rPr>
          <w:sz w:val="24"/>
          <w:szCs w:val="24"/>
        </w:rPr>
      </w:pPr>
    </w:p>
    <w:p w14:paraId="306AAC80">
      <w:pPr>
        <w:pStyle w:val="34"/>
        <w:numPr>
          <w:ilvl w:val="1"/>
          <w:numId w:val="6"/>
        </w:numPr>
        <w:rPr>
          <w:sz w:val="24"/>
          <w:szCs w:val="24"/>
        </w:rPr>
      </w:pPr>
      <w:r>
        <w:rPr>
          <w:sz w:val="24"/>
          <w:szCs w:val="24"/>
        </w:rPr>
        <w:t>Necessidade de contratações frequentes Há necessidade de fornecimento contínuo ao longo do exercício, conforme surgimento das demandas assistenciais.</w:t>
      </w:r>
    </w:p>
    <w:p w14:paraId="54341A33">
      <w:pPr>
        <w:rPr>
          <w:sz w:val="24"/>
          <w:szCs w:val="24"/>
        </w:rPr>
      </w:pPr>
    </w:p>
    <w:p w14:paraId="7C523D9A">
      <w:pPr>
        <w:rPr>
          <w:sz w:val="24"/>
          <w:szCs w:val="24"/>
        </w:rPr>
      </w:pPr>
      <w:r>
        <w:rPr>
          <w:sz w:val="24"/>
          <w:szCs w:val="24"/>
        </w:rPr>
        <w:t xml:space="preserve"> 3.3 Impossibilidade de estocagem excessiva </w:t>
      </w:r>
    </w:p>
    <w:p w14:paraId="7586F96F">
      <w:pPr>
        <w:rPr>
          <w:sz w:val="24"/>
          <w:szCs w:val="24"/>
        </w:rPr>
      </w:pPr>
    </w:p>
    <w:p w14:paraId="534FC986">
      <w:pPr>
        <w:rPr>
          <w:sz w:val="24"/>
          <w:szCs w:val="24"/>
        </w:rPr>
      </w:pPr>
      <w:r>
        <w:rPr>
          <w:sz w:val="24"/>
          <w:szCs w:val="24"/>
        </w:rPr>
        <w:t xml:space="preserve">A aquisição integral poderia gerar: </w:t>
      </w:r>
    </w:p>
    <w:p w14:paraId="70D327A8">
      <w:pPr>
        <w:rPr>
          <w:sz w:val="24"/>
          <w:szCs w:val="24"/>
        </w:rPr>
      </w:pPr>
      <w:r>
        <w:rPr>
          <w:sz w:val="24"/>
          <w:szCs w:val="24"/>
        </w:rPr>
        <w:sym w:font="Symbol" w:char="F0B7"/>
      </w:r>
      <w:r>
        <w:rPr>
          <w:sz w:val="24"/>
          <w:szCs w:val="24"/>
        </w:rPr>
        <w:t xml:space="preserve"> Ocupação desnecessária de espaço físico </w:t>
      </w:r>
    </w:p>
    <w:p w14:paraId="461AF25A">
      <w:pPr>
        <w:rPr>
          <w:sz w:val="24"/>
          <w:szCs w:val="24"/>
        </w:rPr>
      </w:pPr>
      <w:r>
        <w:rPr>
          <w:sz w:val="24"/>
          <w:szCs w:val="24"/>
        </w:rPr>
        <w:sym w:font="Symbol" w:char="F0B7"/>
      </w:r>
      <w:r>
        <w:rPr>
          <w:sz w:val="24"/>
          <w:szCs w:val="24"/>
        </w:rPr>
        <w:t xml:space="preserve"> Risco de deterioração </w:t>
      </w:r>
    </w:p>
    <w:p w14:paraId="42048530">
      <w:pPr>
        <w:rPr>
          <w:sz w:val="24"/>
          <w:szCs w:val="24"/>
        </w:rPr>
      </w:pPr>
      <w:r>
        <w:rPr>
          <w:sz w:val="24"/>
          <w:szCs w:val="24"/>
        </w:rPr>
        <w:sym w:font="Symbol" w:char="F0B7"/>
      </w:r>
      <w:r>
        <w:rPr>
          <w:sz w:val="24"/>
          <w:szCs w:val="24"/>
        </w:rPr>
        <w:t xml:space="preserve"> Ineficiência administrativa</w:t>
      </w:r>
    </w:p>
    <w:p w14:paraId="1209A3BE">
      <w:pPr>
        <w:rPr>
          <w:sz w:val="24"/>
          <w:szCs w:val="24"/>
        </w:rPr>
      </w:pPr>
    </w:p>
    <w:p w14:paraId="7CFC9C8F">
      <w:pPr>
        <w:pStyle w:val="34"/>
        <w:numPr>
          <w:ilvl w:val="1"/>
          <w:numId w:val="6"/>
        </w:numPr>
        <w:rPr>
          <w:sz w:val="24"/>
          <w:szCs w:val="24"/>
        </w:rPr>
      </w:pPr>
      <w:r>
        <w:rPr>
          <w:sz w:val="24"/>
          <w:szCs w:val="24"/>
        </w:rPr>
        <w:t xml:space="preserve">Atendimento imediato O SRP permite contratações rápidas (ordens de fornecimento), essenciais para atendimento emergencial indireto. </w:t>
      </w:r>
    </w:p>
    <w:p w14:paraId="1D09109E">
      <w:pPr>
        <w:rPr>
          <w:sz w:val="24"/>
          <w:szCs w:val="24"/>
        </w:rPr>
      </w:pPr>
    </w:p>
    <w:p w14:paraId="040E239C">
      <w:pPr>
        <w:rPr>
          <w:sz w:val="24"/>
          <w:szCs w:val="24"/>
        </w:rPr>
      </w:pPr>
      <w:r>
        <w:rPr>
          <w:sz w:val="24"/>
          <w:szCs w:val="24"/>
        </w:rPr>
        <w:t>3.5 Eficiência administrativa Evita múltiplos processos licitatórios ao longo do ano.</w:t>
      </w:r>
    </w:p>
    <w:p w14:paraId="71A8880D">
      <w:pPr>
        <w:rPr>
          <w:sz w:val="24"/>
          <w:szCs w:val="24"/>
        </w:rPr>
      </w:pPr>
    </w:p>
    <w:p w14:paraId="078B3499">
      <w:pPr>
        <w:pStyle w:val="34"/>
        <w:numPr>
          <w:ilvl w:val="0"/>
          <w:numId w:val="6"/>
        </w:numPr>
        <w:rPr>
          <w:b/>
          <w:sz w:val="24"/>
          <w:szCs w:val="24"/>
        </w:rPr>
      </w:pPr>
      <w:r>
        <w:rPr>
          <w:b/>
          <w:sz w:val="24"/>
          <w:szCs w:val="24"/>
        </w:rPr>
        <w:t xml:space="preserve">REQUISITOS DA CONTRATAÇÃO </w:t>
      </w:r>
    </w:p>
    <w:p w14:paraId="5752D4F8">
      <w:pPr>
        <w:ind w:left="360"/>
        <w:rPr>
          <w:sz w:val="24"/>
          <w:szCs w:val="24"/>
        </w:rPr>
      </w:pPr>
    </w:p>
    <w:p w14:paraId="4BE2BDF2">
      <w:pPr>
        <w:ind w:left="360"/>
        <w:rPr>
          <w:sz w:val="24"/>
          <w:szCs w:val="24"/>
        </w:rPr>
      </w:pPr>
      <w:r>
        <w:rPr>
          <w:sz w:val="24"/>
          <w:szCs w:val="24"/>
        </w:rPr>
        <w:sym w:font="Symbol" w:char="F0B7"/>
      </w:r>
      <w:r>
        <w:rPr>
          <w:sz w:val="24"/>
          <w:szCs w:val="24"/>
        </w:rPr>
        <w:t xml:space="preserve"> Urnas em madeira (pinus ou equivalente);</w:t>
      </w:r>
    </w:p>
    <w:p w14:paraId="00917447">
      <w:pPr>
        <w:ind w:left="360"/>
        <w:rPr>
          <w:sz w:val="24"/>
          <w:szCs w:val="24"/>
        </w:rPr>
      </w:pPr>
      <w:r>
        <w:rPr>
          <w:sz w:val="24"/>
          <w:szCs w:val="24"/>
        </w:rPr>
        <w:t xml:space="preserve"> </w:t>
      </w:r>
      <w:r>
        <w:rPr>
          <w:sz w:val="24"/>
          <w:szCs w:val="24"/>
        </w:rPr>
        <w:sym w:font="Symbol" w:char="F0B7"/>
      </w:r>
      <w:r>
        <w:rPr>
          <w:sz w:val="24"/>
          <w:szCs w:val="24"/>
        </w:rPr>
        <w:t xml:space="preserve"> Estrutura resistente; </w:t>
      </w:r>
    </w:p>
    <w:p w14:paraId="675D1A13">
      <w:pPr>
        <w:ind w:left="360"/>
        <w:rPr>
          <w:sz w:val="24"/>
          <w:szCs w:val="24"/>
        </w:rPr>
      </w:pPr>
      <w:r>
        <w:rPr>
          <w:sz w:val="24"/>
          <w:szCs w:val="24"/>
        </w:rPr>
        <w:sym w:font="Symbol" w:char="F0B7"/>
      </w:r>
      <w:r>
        <w:rPr>
          <w:sz w:val="24"/>
          <w:szCs w:val="24"/>
        </w:rPr>
        <w:t xml:space="preserve"> Acabamento adequado; </w:t>
      </w:r>
    </w:p>
    <w:p w14:paraId="79C84A99">
      <w:pPr>
        <w:ind w:left="360"/>
        <w:rPr>
          <w:sz w:val="24"/>
          <w:szCs w:val="24"/>
        </w:rPr>
      </w:pPr>
      <w:r>
        <w:rPr>
          <w:sz w:val="24"/>
          <w:szCs w:val="24"/>
        </w:rPr>
        <w:sym w:font="Symbol" w:char="F0B7"/>
      </w:r>
      <w:r>
        <w:rPr>
          <w:sz w:val="24"/>
          <w:szCs w:val="24"/>
        </w:rPr>
        <w:t xml:space="preserve"> Diferentes dimensões; </w:t>
      </w:r>
    </w:p>
    <w:p w14:paraId="2775C120">
      <w:pPr>
        <w:ind w:left="360"/>
        <w:rPr>
          <w:sz w:val="24"/>
          <w:szCs w:val="24"/>
        </w:rPr>
      </w:pPr>
      <w:r>
        <w:rPr>
          <w:sz w:val="24"/>
          <w:szCs w:val="24"/>
        </w:rPr>
        <w:sym w:font="Symbol" w:char="F0B7"/>
      </w:r>
      <w:r>
        <w:rPr>
          <w:sz w:val="24"/>
          <w:szCs w:val="24"/>
        </w:rPr>
        <w:t xml:space="preserve"> Sistema de fechamento seguro; </w:t>
      </w:r>
    </w:p>
    <w:p w14:paraId="649E389A">
      <w:pPr>
        <w:ind w:left="360"/>
        <w:rPr>
          <w:sz w:val="24"/>
          <w:szCs w:val="24"/>
        </w:rPr>
      </w:pPr>
      <w:r>
        <w:rPr>
          <w:sz w:val="24"/>
          <w:szCs w:val="24"/>
        </w:rPr>
        <w:sym w:font="Symbol" w:char="F0B7"/>
      </w:r>
      <w:r>
        <w:rPr>
          <w:sz w:val="24"/>
          <w:szCs w:val="24"/>
        </w:rPr>
        <w:t xml:space="preserve"> Disponibilidade rápida; </w:t>
      </w:r>
    </w:p>
    <w:p w14:paraId="3523232C">
      <w:pPr>
        <w:ind w:left="360"/>
        <w:rPr>
          <w:sz w:val="24"/>
          <w:szCs w:val="24"/>
        </w:rPr>
      </w:pPr>
    </w:p>
    <w:p w14:paraId="2C94C2FF">
      <w:pPr>
        <w:pStyle w:val="34"/>
        <w:numPr>
          <w:ilvl w:val="0"/>
          <w:numId w:val="6"/>
        </w:numPr>
        <w:rPr>
          <w:b/>
          <w:sz w:val="24"/>
          <w:szCs w:val="24"/>
        </w:rPr>
      </w:pPr>
      <w:r>
        <w:rPr>
          <w:b/>
          <w:sz w:val="24"/>
          <w:szCs w:val="24"/>
        </w:rPr>
        <w:t xml:space="preserve">ESTIMATIVA DAS QUANTIDADES </w:t>
      </w:r>
    </w:p>
    <w:p w14:paraId="7C49FEAA">
      <w:pPr>
        <w:ind w:left="360"/>
        <w:rPr>
          <w:sz w:val="24"/>
          <w:szCs w:val="24"/>
        </w:rPr>
      </w:pPr>
    </w:p>
    <w:p w14:paraId="412E85F2">
      <w:pPr>
        <w:ind w:left="360"/>
        <w:rPr>
          <w:sz w:val="24"/>
          <w:szCs w:val="24"/>
        </w:rPr>
      </w:pPr>
      <w:r>
        <w:rPr>
          <w:sz w:val="24"/>
          <w:szCs w:val="24"/>
        </w:rPr>
        <w:t>Os quantitativos representam estimativa anual, não obrigando a Administração à contratação total.</w:t>
      </w:r>
    </w:p>
    <w:p w14:paraId="5C3C8C15">
      <w:pPr>
        <w:ind w:left="360"/>
        <w:rPr>
          <w:sz w:val="24"/>
          <w:szCs w:val="24"/>
        </w:rPr>
      </w:pPr>
    </w:p>
    <w:p w14:paraId="27023D34">
      <w:pPr>
        <w:ind w:left="360"/>
        <w:rPr>
          <w:sz w:val="24"/>
          <w:szCs w:val="24"/>
        </w:rPr>
      </w:pPr>
    </w:p>
    <w:p w14:paraId="746DD2F2">
      <w:pPr>
        <w:pStyle w:val="34"/>
        <w:numPr>
          <w:ilvl w:val="0"/>
          <w:numId w:val="6"/>
        </w:numPr>
        <w:rPr>
          <w:b/>
          <w:sz w:val="24"/>
          <w:szCs w:val="24"/>
        </w:rPr>
      </w:pPr>
      <w:r>
        <w:rPr>
          <w:b/>
          <w:sz w:val="24"/>
          <w:szCs w:val="24"/>
        </w:rPr>
        <w:t>LEVANTAMENTO DE MERCADO</w:t>
      </w:r>
    </w:p>
    <w:p w14:paraId="6E2D6D54">
      <w:pPr>
        <w:ind w:left="360"/>
        <w:rPr>
          <w:sz w:val="24"/>
          <w:szCs w:val="24"/>
        </w:rPr>
      </w:pPr>
    </w:p>
    <w:p w14:paraId="0AF76CC5">
      <w:pPr>
        <w:ind w:left="360"/>
        <w:rPr>
          <w:sz w:val="24"/>
          <w:szCs w:val="24"/>
        </w:rPr>
      </w:pPr>
      <w:r>
        <w:rPr>
          <w:sz w:val="24"/>
          <w:szCs w:val="24"/>
        </w:rPr>
        <w:t xml:space="preserve"> O mercado apresenta fornecedores aptos ao atendimento via SRP, com capacidade de fornecimento parcelado e sob demanda. A contratação por registro de preços é prática comum e adequada para o objeto.</w:t>
      </w:r>
    </w:p>
    <w:p w14:paraId="36A160FD">
      <w:pPr>
        <w:ind w:left="360"/>
        <w:rPr>
          <w:sz w:val="24"/>
          <w:szCs w:val="24"/>
        </w:rPr>
      </w:pPr>
    </w:p>
    <w:p w14:paraId="73286C83">
      <w:pPr>
        <w:pStyle w:val="34"/>
        <w:numPr>
          <w:ilvl w:val="0"/>
          <w:numId w:val="6"/>
        </w:numPr>
        <w:rPr>
          <w:b/>
          <w:sz w:val="24"/>
          <w:szCs w:val="24"/>
        </w:rPr>
      </w:pPr>
      <w:r>
        <w:rPr>
          <w:b/>
          <w:sz w:val="24"/>
          <w:szCs w:val="24"/>
        </w:rPr>
        <w:t xml:space="preserve">ANÁLISE DAS SOLUÇÕES </w:t>
      </w:r>
    </w:p>
    <w:p w14:paraId="1B037A9B">
      <w:pPr>
        <w:ind w:left="360"/>
        <w:rPr>
          <w:sz w:val="24"/>
          <w:szCs w:val="24"/>
        </w:rPr>
      </w:pPr>
    </w:p>
    <w:p w14:paraId="4A4A0E00">
      <w:pPr>
        <w:ind w:left="360"/>
        <w:rPr>
          <w:sz w:val="24"/>
          <w:szCs w:val="24"/>
        </w:rPr>
      </w:pPr>
      <w:r>
        <w:rPr>
          <w:sz w:val="24"/>
          <w:szCs w:val="24"/>
        </w:rPr>
        <w:t>Solução escolhida: Licitação com Registro de Preços</w:t>
      </w:r>
    </w:p>
    <w:p w14:paraId="39BC47EB">
      <w:pPr>
        <w:ind w:left="360"/>
        <w:rPr>
          <w:sz w:val="24"/>
          <w:szCs w:val="24"/>
        </w:rPr>
      </w:pPr>
      <w:r>
        <w:rPr>
          <w:sz w:val="24"/>
          <w:szCs w:val="24"/>
        </w:rPr>
        <w:t xml:space="preserve"> Justificativa:</w:t>
      </w:r>
    </w:p>
    <w:p w14:paraId="7D07E0A9">
      <w:pPr>
        <w:ind w:left="360"/>
        <w:rPr>
          <w:sz w:val="24"/>
          <w:szCs w:val="24"/>
        </w:rPr>
      </w:pPr>
      <w:r>
        <w:rPr>
          <w:sz w:val="24"/>
          <w:szCs w:val="24"/>
        </w:rPr>
        <w:t xml:space="preserve"> </w:t>
      </w:r>
      <w:r>
        <w:rPr>
          <w:sz w:val="24"/>
          <w:szCs w:val="24"/>
        </w:rPr>
        <w:sym w:font="Symbol" w:char="F0B7"/>
      </w:r>
      <w:r>
        <w:rPr>
          <w:sz w:val="24"/>
          <w:szCs w:val="24"/>
        </w:rPr>
        <w:t xml:space="preserve"> Flexibilidade na contratação </w:t>
      </w:r>
    </w:p>
    <w:p w14:paraId="7B126032">
      <w:pPr>
        <w:ind w:left="360"/>
        <w:rPr>
          <w:sz w:val="24"/>
          <w:szCs w:val="24"/>
        </w:rPr>
      </w:pPr>
      <w:r>
        <w:rPr>
          <w:sz w:val="24"/>
          <w:szCs w:val="24"/>
        </w:rPr>
        <w:sym w:font="Symbol" w:char="F0B7"/>
      </w:r>
      <w:r>
        <w:rPr>
          <w:sz w:val="24"/>
          <w:szCs w:val="24"/>
        </w:rPr>
        <w:t xml:space="preserve"> Atendimento sob demanda</w:t>
      </w:r>
    </w:p>
    <w:p w14:paraId="3F54EFD5">
      <w:pPr>
        <w:ind w:left="360"/>
        <w:rPr>
          <w:sz w:val="24"/>
          <w:szCs w:val="24"/>
        </w:rPr>
      </w:pPr>
      <w:r>
        <w:rPr>
          <w:sz w:val="24"/>
          <w:szCs w:val="24"/>
        </w:rPr>
        <w:t xml:space="preserve"> </w:t>
      </w:r>
      <w:r>
        <w:rPr>
          <w:sz w:val="24"/>
          <w:szCs w:val="24"/>
        </w:rPr>
        <w:sym w:font="Symbol" w:char="F0B7"/>
      </w:r>
      <w:r>
        <w:rPr>
          <w:sz w:val="24"/>
          <w:szCs w:val="24"/>
        </w:rPr>
        <w:t xml:space="preserve"> Economicidade</w:t>
      </w:r>
    </w:p>
    <w:p w14:paraId="2A018F04">
      <w:pPr>
        <w:ind w:left="360"/>
        <w:rPr>
          <w:sz w:val="24"/>
          <w:szCs w:val="24"/>
        </w:rPr>
      </w:pPr>
      <w:r>
        <w:rPr>
          <w:sz w:val="24"/>
          <w:szCs w:val="24"/>
        </w:rPr>
        <w:t xml:space="preserve"> </w:t>
      </w:r>
      <w:r>
        <w:rPr>
          <w:sz w:val="24"/>
          <w:szCs w:val="24"/>
        </w:rPr>
        <w:sym w:font="Symbol" w:char="F0B7"/>
      </w:r>
      <w:r>
        <w:rPr>
          <w:sz w:val="24"/>
          <w:szCs w:val="24"/>
        </w:rPr>
        <w:t xml:space="preserve"> Redução de riscos operacionais </w:t>
      </w:r>
    </w:p>
    <w:p w14:paraId="4EB33512">
      <w:pPr>
        <w:ind w:left="360"/>
        <w:rPr>
          <w:b/>
          <w:sz w:val="24"/>
          <w:szCs w:val="24"/>
        </w:rPr>
      </w:pPr>
    </w:p>
    <w:p w14:paraId="70C92825">
      <w:pPr>
        <w:pStyle w:val="34"/>
        <w:numPr>
          <w:ilvl w:val="0"/>
          <w:numId w:val="6"/>
        </w:numPr>
        <w:rPr>
          <w:b/>
          <w:sz w:val="24"/>
          <w:szCs w:val="24"/>
        </w:rPr>
      </w:pPr>
      <w:r>
        <w:rPr>
          <w:b/>
          <w:sz w:val="24"/>
          <w:szCs w:val="24"/>
        </w:rPr>
        <w:t xml:space="preserve">ESTIMATIVA DO VALOR </w:t>
      </w:r>
    </w:p>
    <w:p w14:paraId="377025DF">
      <w:pPr>
        <w:ind w:left="360"/>
        <w:rPr>
          <w:sz w:val="24"/>
          <w:szCs w:val="24"/>
        </w:rPr>
      </w:pPr>
    </w:p>
    <w:p w14:paraId="0269543D">
      <w:pPr>
        <w:ind w:left="360"/>
        <w:rPr>
          <w:sz w:val="24"/>
          <w:szCs w:val="24"/>
        </w:rPr>
      </w:pPr>
      <w:r>
        <w:rPr>
          <w:sz w:val="24"/>
          <w:szCs w:val="24"/>
        </w:rPr>
        <w:t xml:space="preserve">A estimativa foi realizada com base em orçamento de mercado, conforme art. 23 da Lei nº 14.133/2021, servindo como parâmetro para definição do preço estimado da licitação. </w:t>
      </w:r>
    </w:p>
    <w:p w14:paraId="2EBB96CD">
      <w:pPr>
        <w:ind w:left="360"/>
        <w:rPr>
          <w:sz w:val="24"/>
          <w:szCs w:val="24"/>
        </w:rPr>
      </w:pPr>
    </w:p>
    <w:p w14:paraId="113D1C37">
      <w:pPr>
        <w:pStyle w:val="34"/>
        <w:numPr>
          <w:ilvl w:val="0"/>
          <w:numId w:val="6"/>
        </w:numPr>
        <w:rPr>
          <w:b/>
          <w:sz w:val="24"/>
          <w:szCs w:val="24"/>
        </w:rPr>
      </w:pPr>
      <w:r>
        <w:rPr>
          <w:b/>
          <w:sz w:val="24"/>
          <w:szCs w:val="24"/>
        </w:rPr>
        <w:t xml:space="preserve">PARCELAMENTO DA CONTRATAÇÃO </w:t>
      </w:r>
    </w:p>
    <w:p w14:paraId="4EFE4A1E">
      <w:pPr>
        <w:ind w:left="360"/>
        <w:rPr>
          <w:sz w:val="24"/>
          <w:szCs w:val="24"/>
        </w:rPr>
      </w:pPr>
    </w:p>
    <w:p w14:paraId="56131958">
      <w:pPr>
        <w:ind w:left="360"/>
        <w:rPr>
          <w:sz w:val="24"/>
          <w:szCs w:val="24"/>
        </w:rPr>
      </w:pPr>
      <w:r>
        <w:rPr>
          <w:sz w:val="24"/>
          <w:szCs w:val="24"/>
        </w:rPr>
        <w:t>O fornecimento será:</w:t>
      </w:r>
    </w:p>
    <w:p w14:paraId="1A0986AD">
      <w:pPr>
        <w:ind w:left="360"/>
        <w:rPr>
          <w:sz w:val="24"/>
          <w:szCs w:val="24"/>
        </w:rPr>
      </w:pPr>
      <w:r>
        <w:rPr>
          <w:sz w:val="24"/>
          <w:szCs w:val="24"/>
        </w:rPr>
        <w:t xml:space="preserve"> Parcelado, conforme necessidade da Administração Mediante emissão de ordem de fornecimento</w:t>
      </w:r>
    </w:p>
    <w:p w14:paraId="4BE2ECEB">
      <w:pPr>
        <w:ind w:left="360"/>
      </w:pPr>
    </w:p>
    <w:p w14:paraId="0F5753EA">
      <w:pPr>
        <w:pStyle w:val="34"/>
        <w:numPr>
          <w:ilvl w:val="0"/>
          <w:numId w:val="6"/>
        </w:numPr>
        <w:rPr>
          <w:b/>
          <w:sz w:val="24"/>
          <w:szCs w:val="24"/>
        </w:rPr>
      </w:pPr>
      <w:r>
        <w:rPr>
          <w:b/>
          <w:sz w:val="24"/>
          <w:szCs w:val="24"/>
        </w:rPr>
        <w:t xml:space="preserve">ANÁLISE DE RISCOS (AJUSTADA) </w:t>
      </w:r>
    </w:p>
    <w:p w14:paraId="1A33AC9A">
      <w:pPr>
        <w:ind w:left="360"/>
        <w:rPr>
          <w:b/>
          <w:sz w:val="24"/>
          <w:szCs w:val="24"/>
        </w:rPr>
      </w:pPr>
    </w:p>
    <w:p w14:paraId="5D816FA7">
      <w:pPr>
        <w:ind w:left="360"/>
        <w:rPr>
          <w:sz w:val="24"/>
          <w:szCs w:val="24"/>
        </w:rPr>
      </w:pPr>
      <w:r>
        <w:rPr>
          <w:sz w:val="24"/>
          <w:szCs w:val="24"/>
        </w:rPr>
        <w:t>Inclui risco específico do SRP:</w:t>
      </w:r>
    </w:p>
    <w:p w14:paraId="1EAEAF63">
      <w:pPr>
        <w:ind w:left="360"/>
        <w:rPr>
          <w:sz w:val="24"/>
          <w:szCs w:val="24"/>
        </w:rPr>
      </w:pPr>
    </w:p>
    <w:p w14:paraId="342ADABF">
      <w:pPr>
        <w:ind w:left="360"/>
        <w:rPr>
          <w:sz w:val="24"/>
          <w:szCs w:val="24"/>
        </w:rPr>
      </w:pPr>
    </w:p>
    <w:tbl>
      <w:tblPr>
        <w:tblStyle w:val="30"/>
        <w:tblW w:w="0" w:type="auto"/>
        <w:tblInd w:w="3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05"/>
        <w:gridCol w:w="4293"/>
      </w:tblGrid>
      <w:tr w14:paraId="617FB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65" w:type="dxa"/>
          </w:tcPr>
          <w:p w14:paraId="217B58F7">
            <w:pPr>
              <w:rPr>
                <w:rFonts w:ascii="Times New Roman" w:hAnsi="Times New Roman" w:cs="Times New Roman" w:eastAsiaTheme="minorHAnsi"/>
                <w:b/>
                <w:sz w:val="24"/>
                <w:szCs w:val="24"/>
                <w:lang w:eastAsia="en-US"/>
              </w:rPr>
            </w:pPr>
            <w:r>
              <w:rPr>
                <w:rFonts w:ascii="Times New Roman" w:hAnsi="Times New Roman" w:cs="Times New Roman" w:eastAsiaTheme="minorHAnsi"/>
                <w:b/>
                <w:sz w:val="24"/>
                <w:szCs w:val="24"/>
                <w:lang w:eastAsia="en-US"/>
              </w:rPr>
              <w:t>Risco</w:t>
            </w:r>
          </w:p>
        </w:tc>
        <w:tc>
          <w:tcPr>
            <w:tcW w:w="4366" w:type="dxa"/>
          </w:tcPr>
          <w:p w14:paraId="1410BF18">
            <w:pPr>
              <w:rPr>
                <w:rFonts w:ascii="Times New Roman" w:hAnsi="Times New Roman" w:cs="Times New Roman" w:eastAsiaTheme="minorHAnsi"/>
                <w:b/>
                <w:sz w:val="24"/>
                <w:szCs w:val="24"/>
                <w:lang w:eastAsia="en-US"/>
              </w:rPr>
            </w:pPr>
            <w:r>
              <w:rPr>
                <w:rFonts w:ascii="Times New Roman" w:hAnsi="Times New Roman" w:cs="Times New Roman" w:eastAsiaTheme="minorHAnsi"/>
                <w:b/>
                <w:sz w:val="24"/>
                <w:szCs w:val="24"/>
                <w:lang w:eastAsia="en-US"/>
              </w:rPr>
              <w:t>Mitigação</w:t>
            </w:r>
          </w:p>
        </w:tc>
      </w:tr>
      <w:tr w14:paraId="2EC40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65" w:type="dxa"/>
          </w:tcPr>
          <w:p w14:paraId="7C22EF4E">
            <w:pPr>
              <w:rPr>
                <w:rFonts w:ascii="Times New Roman" w:hAnsi="Times New Roman" w:cs="Times New Roman" w:eastAsiaTheme="minorHAnsi"/>
                <w:sz w:val="24"/>
                <w:szCs w:val="24"/>
                <w:lang w:eastAsia="en-US"/>
              </w:rPr>
            </w:pPr>
            <w:r>
              <w:rPr>
                <w:rFonts w:ascii="Times New Roman" w:hAnsi="Times New Roman" w:cs="Times New Roman" w:eastAsiaTheme="minorHAnsi"/>
                <w:sz w:val="24"/>
                <w:szCs w:val="24"/>
                <w:lang w:eastAsia="en-US"/>
              </w:rPr>
              <w:t>Não adesão ao quantitativo estimado</w:t>
            </w:r>
          </w:p>
        </w:tc>
        <w:tc>
          <w:tcPr>
            <w:tcW w:w="4366" w:type="dxa"/>
          </w:tcPr>
          <w:p w14:paraId="63437A9F">
            <w:pPr>
              <w:rPr>
                <w:rFonts w:ascii="Times New Roman" w:hAnsi="Times New Roman" w:cs="Times New Roman" w:eastAsiaTheme="minorHAnsi"/>
                <w:sz w:val="24"/>
                <w:szCs w:val="24"/>
                <w:lang w:eastAsia="en-US"/>
              </w:rPr>
            </w:pPr>
            <w:r>
              <w:rPr>
                <w:rFonts w:ascii="Times New Roman" w:hAnsi="Times New Roman" w:cs="Times New Roman" w:eastAsiaTheme="minorHAnsi"/>
                <w:sz w:val="24"/>
                <w:szCs w:val="24"/>
                <w:lang w:eastAsia="en-US"/>
              </w:rPr>
              <w:t>Previsão clara de que não há obrigação de contratação total</w:t>
            </w:r>
          </w:p>
        </w:tc>
      </w:tr>
      <w:tr w14:paraId="65DB1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65" w:type="dxa"/>
          </w:tcPr>
          <w:p w14:paraId="312E7D3D">
            <w:pPr>
              <w:rPr>
                <w:rFonts w:ascii="Times New Roman" w:hAnsi="Times New Roman" w:cs="Times New Roman" w:eastAsiaTheme="minorHAnsi"/>
                <w:sz w:val="24"/>
                <w:szCs w:val="24"/>
                <w:lang w:eastAsia="en-US"/>
              </w:rPr>
            </w:pPr>
            <w:r>
              <w:rPr>
                <w:rFonts w:ascii="Times New Roman" w:hAnsi="Times New Roman" w:cs="Times New Roman" w:eastAsiaTheme="minorHAnsi"/>
                <w:sz w:val="24"/>
                <w:szCs w:val="24"/>
                <w:lang w:eastAsia="en-US"/>
              </w:rPr>
              <w:t>Falha no atendimento imediato</w:t>
            </w:r>
          </w:p>
        </w:tc>
        <w:tc>
          <w:tcPr>
            <w:tcW w:w="4366" w:type="dxa"/>
          </w:tcPr>
          <w:p w14:paraId="5F87552A">
            <w:pPr>
              <w:rPr>
                <w:rFonts w:ascii="Times New Roman" w:hAnsi="Times New Roman" w:cs="Times New Roman" w:eastAsiaTheme="minorHAnsi"/>
                <w:sz w:val="24"/>
                <w:szCs w:val="24"/>
                <w:lang w:eastAsia="en-US"/>
              </w:rPr>
            </w:pPr>
            <w:r>
              <w:rPr>
                <w:rFonts w:ascii="Times New Roman" w:hAnsi="Times New Roman" w:cs="Times New Roman" w:eastAsiaTheme="minorHAnsi"/>
                <w:sz w:val="24"/>
                <w:szCs w:val="24"/>
                <w:lang w:eastAsia="en-US"/>
              </w:rPr>
              <w:t>Definição de prazo curto de entrega</w:t>
            </w:r>
          </w:p>
        </w:tc>
      </w:tr>
      <w:tr w14:paraId="76319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65" w:type="dxa"/>
          </w:tcPr>
          <w:p w14:paraId="202E5242">
            <w:pPr>
              <w:rPr>
                <w:rFonts w:ascii="Times New Roman" w:hAnsi="Times New Roman" w:cs="Times New Roman" w:eastAsiaTheme="minorHAnsi"/>
                <w:sz w:val="24"/>
                <w:szCs w:val="24"/>
                <w:lang w:eastAsia="en-US"/>
              </w:rPr>
            </w:pPr>
            <w:r>
              <w:rPr>
                <w:rFonts w:ascii="Times New Roman" w:hAnsi="Times New Roman" w:cs="Times New Roman" w:eastAsiaTheme="minorHAnsi"/>
                <w:sz w:val="24"/>
                <w:szCs w:val="24"/>
                <w:lang w:eastAsia="en-US"/>
              </w:rPr>
              <w:t>Desabastecimento</w:t>
            </w:r>
          </w:p>
        </w:tc>
        <w:tc>
          <w:tcPr>
            <w:tcW w:w="4366" w:type="dxa"/>
          </w:tcPr>
          <w:p w14:paraId="2C167FCD">
            <w:pPr>
              <w:rPr>
                <w:rFonts w:ascii="Times New Roman" w:hAnsi="Times New Roman" w:cs="Times New Roman" w:eastAsiaTheme="minorHAnsi"/>
                <w:sz w:val="24"/>
                <w:szCs w:val="24"/>
                <w:lang w:eastAsia="en-US"/>
              </w:rPr>
            </w:pPr>
            <w:r>
              <w:rPr>
                <w:rFonts w:ascii="Times New Roman" w:hAnsi="Times New Roman" w:cs="Times New Roman" w:eastAsiaTheme="minorHAnsi"/>
                <w:sz w:val="24"/>
                <w:szCs w:val="24"/>
                <w:lang w:eastAsia="en-US"/>
              </w:rPr>
              <w:t>Ata com fornecedor com capacidade comprovada</w:t>
            </w:r>
          </w:p>
        </w:tc>
      </w:tr>
    </w:tbl>
    <w:p w14:paraId="3420AD84">
      <w:pPr>
        <w:ind w:left="360"/>
        <w:rPr>
          <w:sz w:val="24"/>
          <w:szCs w:val="24"/>
        </w:rPr>
      </w:pPr>
    </w:p>
    <w:p w14:paraId="6B0926EA">
      <w:pPr>
        <w:rPr>
          <w:sz w:val="24"/>
          <w:szCs w:val="24"/>
        </w:rPr>
      </w:pPr>
    </w:p>
    <w:p w14:paraId="6CB2ACD4">
      <w:pPr>
        <w:pStyle w:val="34"/>
        <w:numPr>
          <w:ilvl w:val="0"/>
          <w:numId w:val="6"/>
        </w:numPr>
        <w:rPr>
          <w:b/>
          <w:sz w:val="24"/>
          <w:szCs w:val="24"/>
        </w:rPr>
      </w:pPr>
      <w:r>
        <w:rPr>
          <w:b/>
          <w:sz w:val="24"/>
          <w:szCs w:val="24"/>
        </w:rPr>
        <w:t>VIABILIDADE DA CONTRATAÇÃO</w:t>
      </w:r>
    </w:p>
    <w:p w14:paraId="1EDDE321">
      <w:pPr>
        <w:ind w:left="360"/>
        <w:rPr>
          <w:b/>
          <w:sz w:val="24"/>
          <w:szCs w:val="24"/>
        </w:rPr>
      </w:pPr>
    </w:p>
    <w:p w14:paraId="5E9EA323">
      <w:pPr>
        <w:ind w:left="360"/>
        <w:rPr>
          <w:sz w:val="24"/>
          <w:szCs w:val="24"/>
        </w:rPr>
      </w:pPr>
      <w:r>
        <w:rPr>
          <w:sz w:val="24"/>
          <w:szCs w:val="24"/>
        </w:rPr>
        <w:t xml:space="preserve"> A contratação por meio de licitação com Sistema de Registro de Preços é: </w:t>
      </w:r>
    </w:p>
    <w:p w14:paraId="53C0B170">
      <w:pPr>
        <w:ind w:left="360"/>
        <w:rPr>
          <w:sz w:val="24"/>
          <w:szCs w:val="24"/>
        </w:rPr>
      </w:pPr>
      <w:r>
        <w:rPr>
          <w:sz w:val="24"/>
          <w:szCs w:val="24"/>
        </w:rPr>
        <w:t xml:space="preserve">Legal </w:t>
      </w:r>
    </w:p>
    <w:p w14:paraId="502A1557">
      <w:pPr>
        <w:ind w:left="360"/>
        <w:rPr>
          <w:sz w:val="24"/>
          <w:szCs w:val="24"/>
        </w:rPr>
      </w:pPr>
      <w:r>
        <w:rPr>
          <w:sz w:val="24"/>
          <w:szCs w:val="24"/>
        </w:rPr>
        <w:t xml:space="preserve">Adequada </w:t>
      </w:r>
    </w:p>
    <w:p w14:paraId="1983D65C">
      <w:pPr>
        <w:ind w:left="360"/>
        <w:rPr>
          <w:sz w:val="24"/>
          <w:szCs w:val="24"/>
        </w:rPr>
      </w:pPr>
      <w:r>
        <w:rPr>
          <w:sz w:val="24"/>
          <w:szCs w:val="24"/>
        </w:rPr>
        <w:t xml:space="preserve">Eficiente </w:t>
      </w:r>
    </w:p>
    <w:p w14:paraId="24E536B6">
      <w:pPr>
        <w:ind w:left="360"/>
        <w:rPr>
          <w:sz w:val="24"/>
          <w:szCs w:val="24"/>
        </w:rPr>
      </w:pPr>
      <w:r>
        <w:rPr>
          <w:sz w:val="24"/>
          <w:szCs w:val="24"/>
        </w:rPr>
        <w:t>Mais vantajosa para a Administração</w:t>
      </w:r>
    </w:p>
    <w:p w14:paraId="38B2BEBD">
      <w:pPr>
        <w:ind w:left="360"/>
        <w:rPr>
          <w:sz w:val="24"/>
          <w:szCs w:val="24"/>
        </w:rPr>
      </w:pPr>
    </w:p>
    <w:p w14:paraId="4F2850AE">
      <w:pPr>
        <w:pStyle w:val="34"/>
        <w:numPr>
          <w:ilvl w:val="0"/>
          <w:numId w:val="6"/>
        </w:numPr>
        <w:rPr>
          <w:b/>
          <w:sz w:val="24"/>
          <w:szCs w:val="24"/>
        </w:rPr>
      </w:pPr>
      <w:r>
        <w:rPr>
          <w:b/>
          <w:sz w:val="24"/>
          <w:szCs w:val="24"/>
        </w:rPr>
        <w:t xml:space="preserve">CONCLUSÃO </w:t>
      </w:r>
    </w:p>
    <w:p w14:paraId="00EF230C">
      <w:pPr>
        <w:ind w:left="360"/>
        <w:rPr>
          <w:sz w:val="24"/>
          <w:szCs w:val="24"/>
        </w:rPr>
      </w:pPr>
    </w:p>
    <w:p w14:paraId="01F37D4D">
      <w:pPr>
        <w:ind w:left="360"/>
        <w:rPr>
          <w:sz w:val="24"/>
          <w:szCs w:val="24"/>
        </w:rPr>
      </w:pPr>
      <w:r>
        <w:rPr>
          <w:sz w:val="24"/>
          <w:szCs w:val="24"/>
        </w:rPr>
        <w:t xml:space="preserve">Diante do exposto, conclui-se pela viabilidade da contratação, recomendando-se: </w:t>
      </w:r>
    </w:p>
    <w:p w14:paraId="4C2848E5">
      <w:pPr>
        <w:ind w:left="360"/>
        <w:rPr>
          <w:b/>
          <w:sz w:val="24"/>
          <w:szCs w:val="24"/>
        </w:rPr>
      </w:pPr>
      <w:r>
        <w:rPr>
          <w:b/>
          <w:sz w:val="24"/>
          <w:szCs w:val="24"/>
        </w:rPr>
        <w:t>A abertura de processo licitatório na modalidade adequada, com adoção do Sistema de Registro de Preços (SRP) .</w:t>
      </w:r>
    </w:p>
    <w:p w14:paraId="0C6E0D76">
      <w:pPr>
        <w:pStyle w:val="34"/>
        <w:rPr>
          <w:sz w:val="24"/>
          <w:szCs w:val="24"/>
        </w:rPr>
      </w:pPr>
    </w:p>
    <w:p w14:paraId="7C43472E">
      <w:pPr>
        <w:pStyle w:val="34"/>
        <w:rPr>
          <w:sz w:val="24"/>
          <w:szCs w:val="24"/>
        </w:rPr>
      </w:pPr>
    </w:p>
    <w:p w14:paraId="2DD4B557">
      <w:pPr>
        <w:pStyle w:val="34"/>
        <w:rPr>
          <w:sz w:val="24"/>
          <w:szCs w:val="24"/>
        </w:rPr>
      </w:pPr>
      <w:r>
        <w:rPr>
          <w:sz w:val="24"/>
          <w:szCs w:val="24"/>
        </w:rPr>
        <w:t>Valença/RJ, 01 de Abril de 2026.</w:t>
      </w:r>
    </w:p>
    <w:p w14:paraId="636057FC">
      <w:pPr>
        <w:rPr>
          <w:sz w:val="24"/>
          <w:szCs w:val="24"/>
        </w:rPr>
      </w:pPr>
    </w:p>
    <w:p w14:paraId="0F8BD762">
      <w:pPr>
        <w:rPr>
          <w:sz w:val="24"/>
          <w:szCs w:val="24"/>
        </w:rPr>
      </w:pPr>
    </w:p>
    <w:p w14:paraId="72525474">
      <w:pPr>
        <w:jc w:val="center"/>
        <w:rPr>
          <w:b/>
          <w:sz w:val="24"/>
          <w:szCs w:val="24"/>
        </w:rPr>
      </w:pPr>
      <w:r>
        <w:rPr>
          <w:b/>
          <w:sz w:val="24"/>
          <w:szCs w:val="24"/>
        </w:rPr>
        <w:t>Rodrigo Furtado da Silva</w:t>
      </w:r>
    </w:p>
    <w:p w14:paraId="5B7EE1EC">
      <w:pPr>
        <w:jc w:val="center"/>
        <w:rPr>
          <w:b/>
          <w:sz w:val="24"/>
          <w:szCs w:val="24"/>
        </w:rPr>
      </w:pPr>
      <w:r>
        <w:rPr>
          <w:b/>
          <w:sz w:val="24"/>
          <w:szCs w:val="24"/>
        </w:rPr>
        <w:t>Coordenador de Proteção Social Especial</w:t>
      </w:r>
    </w:p>
    <w:p w14:paraId="2DADF746">
      <w:pPr>
        <w:jc w:val="center"/>
        <w:rPr>
          <w:b/>
          <w:sz w:val="24"/>
          <w:szCs w:val="24"/>
        </w:rPr>
        <w:sectPr>
          <w:headerReference r:id="rId3" w:type="default"/>
          <w:footerReference r:id="rId4" w:type="default"/>
          <w:pgSz w:w="11900" w:h="16820"/>
          <w:pgMar w:top="425" w:right="1599" w:bottom="680" w:left="1559" w:header="0" w:footer="488" w:gutter="0"/>
          <w:cols w:space="720" w:num="1"/>
        </w:sectPr>
      </w:pPr>
      <w:r>
        <w:rPr>
          <w:b/>
          <w:sz w:val="24"/>
          <w:szCs w:val="24"/>
        </w:rPr>
        <w:t>Matricula 211.879</w:t>
      </w:r>
    </w:p>
    <w:p w14:paraId="7A51340F">
      <w:pPr>
        <w:rPr>
          <w:sz w:val="24"/>
          <w:szCs w:val="24"/>
        </w:rPr>
      </w:pPr>
    </w:p>
    <w:p w14:paraId="5DD573F5">
      <w:pPr>
        <w:spacing w:before="288" w:beforeLines="120" w:after="288" w:afterLines="120" w:line="288" w:lineRule="auto"/>
        <w:contextualSpacing/>
        <w:rPr>
          <w:rFonts w:eastAsia="MS Mincho" w:asciiTheme="minorHAnsi" w:hAnsiTheme="minorHAnsi" w:cstheme="minorHAnsi"/>
          <w:b/>
          <w:sz w:val="24"/>
          <w:szCs w:val="24"/>
        </w:rPr>
      </w:pPr>
    </w:p>
    <w:p w14:paraId="672C69B7">
      <w:pPr>
        <w:spacing w:before="288" w:beforeLines="120" w:after="288" w:afterLines="120" w:line="288" w:lineRule="auto"/>
        <w:contextualSpacing/>
        <w:jc w:val="center"/>
        <w:rPr>
          <w:rFonts w:eastAsia="MS Mincho"/>
          <w:b/>
          <w:sz w:val="24"/>
          <w:szCs w:val="24"/>
          <w:u w:val="single"/>
        </w:rPr>
      </w:pPr>
      <w:r>
        <w:rPr>
          <w:rFonts w:eastAsia="MS Mincho"/>
          <w:b/>
          <w:sz w:val="24"/>
          <w:szCs w:val="24"/>
          <w:highlight w:val="yellow"/>
          <w:u w:val="single"/>
        </w:rPr>
        <w:t>ANEXO III – MODELO DE PROPOSTA</w:t>
      </w:r>
    </w:p>
    <w:tbl>
      <w:tblPr>
        <w:tblStyle w:val="9"/>
        <w:tblW w:w="8895"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10"/>
        <w:gridCol w:w="1605"/>
        <w:gridCol w:w="1950"/>
        <w:gridCol w:w="585"/>
        <w:gridCol w:w="825"/>
        <w:gridCol w:w="615"/>
        <w:gridCol w:w="1245"/>
        <w:gridCol w:w="1260"/>
      </w:tblGrid>
      <w:tr w14:paraId="251E49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4365" w:type="dxa"/>
            <w:gridSpan w:val="3"/>
            <w:shd w:val="clear" w:color="auto" w:fill="CCCCCC"/>
            <w:tcMar>
              <w:top w:w="100" w:type="dxa"/>
              <w:left w:w="100" w:type="dxa"/>
              <w:bottom w:w="100" w:type="dxa"/>
              <w:right w:w="100" w:type="dxa"/>
            </w:tcMar>
          </w:tcPr>
          <w:p w14:paraId="6B1AD0EC">
            <w:pPr>
              <w:pStyle w:val="56"/>
              <w:widowControl w:val="0"/>
              <w:rPr>
                <w:b/>
                <w:i/>
                <w:iCs/>
                <w:sz w:val="20"/>
                <w:szCs w:val="20"/>
              </w:rPr>
            </w:pPr>
          </w:p>
          <w:p w14:paraId="7ECDD7FB">
            <w:pPr>
              <w:pStyle w:val="56"/>
              <w:widowControl w:val="0"/>
              <w:rPr>
                <w:b/>
                <w:i/>
                <w:iCs/>
                <w:sz w:val="20"/>
                <w:szCs w:val="20"/>
              </w:rPr>
            </w:pPr>
            <w:r>
              <w:rPr>
                <w:b/>
                <w:i/>
                <w:iCs/>
                <w:sz w:val="20"/>
                <w:szCs w:val="20"/>
              </w:rPr>
              <w:t>PREFEITURA MUNICIPAL DE VALENÇA</w:t>
            </w:r>
          </w:p>
        </w:tc>
        <w:tc>
          <w:tcPr>
            <w:tcW w:w="2025" w:type="dxa"/>
            <w:gridSpan w:val="3"/>
            <w:shd w:val="clear" w:color="auto" w:fill="CCCCCC"/>
            <w:tcMar>
              <w:top w:w="100" w:type="dxa"/>
              <w:left w:w="100" w:type="dxa"/>
              <w:bottom w:w="100" w:type="dxa"/>
              <w:right w:w="100" w:type="dxa"/>
            </w:tcMar>
          </w:tcPr>
          <w:p w14:paraId="39E3A7E7">
            <w:pPr>
              <w:pStyle w:val="56"/>
              <w:widowControl w:val="0"/>
              <w:rPr>
                <w:b/>
                <w:sz w:val="20"/>
                <w:szCs w:val="20"/>
              </w:rPr>
            </w:pPr>
            <w:r>
              <w:rPr>
                <w:b/>
                <w:sz w:val="20"/>
                <w:szCs w:val="20"/>
              </w:rPr>
              <w:t>Pregão Eletrônico RP N° _____/____</w:t>
            </w:r>
          </w:p>
        </w:tc>
        <w:tc>
          <w:tcPr>
            <w:tcW w:w="2505" w:type="dxa"/>
            <w:gridSpan w:val="2"/>
            <w:shd w:val="clear" w:color="auto" w:fill="auto"/>
            <w:tcMar>
              <w:top w:w="100" w:type="dxa"/>
              <w:left w:w="100" w:type="dxa"/>
              <w:bottom w:w="100" w:type="dxa"/>
              <w:right w:w="100" w:type="dxa"/>
            </w:tcMar>
          </w:tcPr>
          <w:p w14:paraId="6DAD1C29">
            <w:pPr>
              <w:pStyle w:val="56"/>
              <w:widowControl w:val="0"/>
              <w:rPr>
                <w:b/>
                <w:sz w:val="20"/>
                <w:szCs w:val="20"/>
              </w:rPr>
            </w:pPr>
            <w:r>
              <w:rPr>
                <w:b/>
                <w:sz w:val="20"/>
                <w:szCs w:val="20"/>
              </w:rPr>
              <w:t>CNPJ:</w:t>
            </w:r>
          </w:p>
        </w:tc>
      </w:tr>
      <w:tr w14:paraId="522C88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4950" w:type="dxa"/>
            <w:gridSpan w:val="4"/>
            <w:shd w:val="clear" w:color="auto" w:fill="auto"/>
            <w:tcMar>
              <w:top w:w="100" w:type="dxa"/>
              <w:left w:w="100" w:type="dxa"/>
              <w:bottom w:w="100" w:type="dxa"/>
              <w:right w:w="100" w:type="dxa"/>
            </w:tcMar>
          </w:tcPr>
          <w:p w14:paraId="15F7AAF8">
            <w:pPr>
              <w:pStyle w:val="56"/>
              <w:widowControl w:val="0"/>
              <w:rPr>
                <w:b/>
                <w:i/>
                <w:iCs/>
                <w:sz w:val="20"/>
                <w:szCs w:val="20"/>
              </w:rPr>
            </w:pPr>
            <w:r>
              <w:rPr>
                <w:b/>
                <w:i/>
                <w:iCs/>
                <w:sz w:val="20"/>
                <w:szCs w:val="20"/>
              </w:rPr>
              <w:t>Razão Social:</w:t>
            </w:r>
          </w:p>
        </w:tc>
        <w:tc>
          <w:tcPr>
            <w:tcW w:w="3945" w:type="dxa"/>
            <w:gridSpan w:val="4"/>
            <w:shd w:val="clear" w:color="auto" w:fill="auto"/>
            <w:tcMar>
              <w:top w:w="100" w:type="dxa"/>
              <w:left w:w="100" w:type="dxa"/>
              <w:bottom w:w="100" w:type="dxa"/>
              <w:right w:w="100" w:type="dxa"/>
            </w:tcMar>
          </w:tcPr>
          <w:p w14:paraId="5966A749">
            <w:pPr>
              <w:pStyle w:val="56"/>
              <w:widowControl w:val="0"/>
              <w:rPr>
                <w:b/>
                <w:sz w:val="20"/>
                <w:szCs w:val="20"/>
              </w:rPr>
            </w:pPr>
            <w:r>
              <w:rPr>
                <w:b/>
                <w:sz w:val="20"/>
                <w:szCs w:val="20"/>
              </w:rPr>
              <w:t>E-mail:</w:t>
            </w:r>
          </w:p>
        </w:tc>
      </w:tr>
      <w:tr w14:paraId="7D46F9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5775" w:type="dxa"/>
            <w:gridSpan w:val="5"/>
            <w:shd w:val="clear" w:color="auto" w:fill="auto"/>
            <w:tcMar>
              <w:top w:w="100" w:type="dxa"/>
              <w:left w:w="100" w:type="dxa"/>
              <w:bottom w:w="100" w:type="dxa"/>
              <w:right w:w="100" w:type="dxa"/>
            </w:tcMar>
          </w:tcPr>
          <w:p w14:paraId="11793B40">
            <w:pPr>
              <w:pStyle w:val="56"/>
              <w:widowControl w:val="0"/>
              <w:rPr>
                <w:b/>
                <w:i/>
                <w:iCs/>
                <w:sz w:val="20"/>
                <w:szCs w:val="20"/>
              </w:rPr>
            </w:pPr>
            <w:r>
              <w:rPr>
                <w:b/>
                <w:i/>
                <w:iCs/>
                <w:sz w:val="20"/>
                <w:szCs w:val="20"/>
              </w:rPr>
              <w:t>Endereço:</w:t>
            </w:r>
          </w:p>
        </w:tc>
        <w:tc>
          <w:tcPr>
            <w:tcW w:w="3120" w:type="dxa"/>
            <w:gridSpan w:val="3"/>
            <w:shd w:val="clear" w:color="auto" w:fill="auto"/>
            <w:tcMar>
              <w:top w:w="100" w:type="dxa"/>
              <w:left w:w="100" w:type="dxa"/>
              <w:bottom w:w="100" w:type="dxa"/>
              <w:right w:w="100" w:type="dxa"/>
            </w:tcMar>
          </w:tcPr>
          <w:p w14:paraId="72E2AE55">
            <w:pPr>
              <w:pStyle w:val="56"/>
              <w:widowControl w:val="0"/>
              <w:rPr>
                <w:b/>
                <w:sz w:val="20"/>
                <w:szCs w:val="20"/>
              </w:rPr>
            </w:pPr>
            <w:r>
              <w:rPr>
                <w:b/>
                <w:sz w:val="20"/>
                <w:szCs w:val="20"/>
              </w:rPr>
              <w:t>Tel.:</w:t>
            </w:r>
          </w:p>
        </w:tc>
      </w:tr>
      <w:tr w14:paraId="2839CE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4365" w:type="dxa"/>
            <w:gridSpan w:val="3"/>
            <w:shd w:val="clear" w:color="auto" w:fill="auto"/>
            <w:tcMar>
              <w:top w:w="100" w:type="dxa"/>
              <w:left w:w="100" w:type="dxa"/>
              <w:bottom w:w="100" w:type="dxa"/>
              <w:right w:w="100" w:type="dxa"/>
            </w:tcMar>
          </w:tcPr>
          <w:p w14:paraId="26EDD2AF">
            <w:pPr>
              <w:pStyle w:val="56"/>
              <w:widowControl w:val="0"/>
              <w:rPr>
                <w:b/>
                <w:i/>
                <w:iCs/>
                <w:sz w:val="20"/>
                <w:szCs w:val="20"/>
              </w:rPr>
            </w:pPr>
            <w:r>
              <w:rPr>
                <w:b/>
                <w:i/>
                <w:iCs/>
                <w:sz w:val="20"/>
                <w:szCs w:val="20"/>
              </w:rPr>
              <w:t>Banco:</w:t>
            </w:r>
          </w:p>
        </w:tc>
        <w:tc>
          <w:tcPr>
            <w:tcW w:w="1410" w:type="dxa"/>
            <w:gridSpan w:val="2"/>
            <w:shd w:val="clear" w:color="auto" w:fill="auto"/>
            <w:tcMar>
              <w:top w:w="100" w:type="dxa"/>
              <w:left w:w="100" w:type="dxa"/>
              <w:bottom w:w="100" w:type="dxa"/>
              <w:right w:w="100" w:type="dxa"/>
            </w:tcMar>
          </w:tcPr>
          <w:p w14:paraId="0CB84D3B">
            <w:pPr>
              <w:pStyle w:val="56"/>
              <w:widowControl w:val="0"/>
              <w:rPr>
                <w:b/>
                <w:sz w:val="20"/>
                <w:szCs w:val="20"/>
              </w:rPr>
            </w:pPr>
            <w:r>
              <w:rPr>
                <w:b/>
                <w:sz w:val="20"/>
                <w:szCs w:val="20"/>
              </w:rPr>
              <w:t>Agência:</w:t>
            </w:r>
          </w:p>
        </w:tc>
        <w:tc>
          <w:tcPr>
            <w:tcW w:w="3120" w:type="dxa"/>
            <w:gridSpan w:val="3"/>
            <w:shd w:val="clear" w:color="auto" w:fill="auto"/>
            <w:tcMar>
              <w:top w:w="100" w:type="dxa"/>
              <w:left w:w="100" w:type="dxa"/>
              <w:bottom w:w="100" w:type="dxa"/>
              <w:right w:w="100" w:type="dxa"/>
            </w:tcMar>
          </w:tcPr>
          <w:p w14:paraId="1577991E">
            <w:pPr>
              <w:pStyle w:val="56"/>
              <w:widowControl w:val="0"/>
              <w:rPr>
                <w:b/>
                <w:sz w:val="20"/>
                <w:szCs w:val="20"/>
              </w:rPr>
            </w:pPr>
            <w:r>
              <w:rPr>
                <w:b/>
                <w:sz w:val="20"/>
                <w:szCs w:val="20"/>
              </w:rPr>
              <w:t>Conta Corrente:</w:t>
            </w:r>
          </w:p>
        </w:tc>
      </w:tr>
      <w:tr w14:paraId="2D67C4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blHeader/>
        </w:trPr>
        <w:tc>
          <w:tcPr>
            <w:tcW w:w="810" w:type="dxa"/>
            <w:shd w:val="clear" w:color="auto" w:fill="CCCCCC"/>
            <w:tcMar>
              <w:top w:w="100" w:type="dxa"/>
              <w:left w:w="100" w:type="dxa"/>
              <w:bottom w:w="100" w:type="dxa"/>
              <w:right w:w="100" w:type="dxa"/>
            </w:tcMar>
          </w:tcPr>
          <w:p w14:paraId="4CBC32DF">
            <w:pPr>
              <w:pStyle w:val="56"/>
              <w:widowControl w:val="0"/>
              <w:jc w:val="center"/>
              <w:rPr>
                <w:b/>
                <w:i/>
                <w:iCs/>
                <w:sz w:val="20"/>
                <w:szCs w:val="20"/>
              </w:rPr>
            </w:pPr>
            <w:r>
              <w:rPr>
                <w:b/>
                <w:i/>
                <w:iCs/>
                <w:sz w:val="20"/>
                <w:szCs w:val="20"/>
              </w:rPr>
              <w:t>LOTE/</w:t>
            </w:r>
          </w:p>
          <w:p w14:paraId="6AF88088">
            <w:pPr>
              <w:pStyle w:val="56"/>
              <w:widowControl w:val="0"/>
              <w:jc w:val="center"/>
              <w:rPr>
                <w:b/>
                <w:i/>
                <w:iCs/>
                <w:sz w:val="20"/>
                <w:szCs w:val="20"/>
              </w:rPr>
            </w:pPr>
            <w:r>
              <w:rPr>
                <w:b/>
                <w:i/>
                <w:iCs/>
                <w:sz w:val="20"/>
                <w:szCs w:val="20"/>
              </w:rPr>
              <w:t>ITEM</w:t>
            </w:r>
          </w:p>
        </w:tc>
        <w:tc>
          <w:tcPr>
            <w:tcW w:w="1605" w:type="dxa"/>
            <w:shd w:val="clear" w:color="auto" w:fill="CCCCCC"/>
            <w:tcMar>
              <w:top w:w="100" w:type="dxa"/>
              <w:left w:w="100" w:type="dxa"/>
              <w:bottom w:w="100" w:type="dxa"/>
              <w:right w:w="100" w:type="dxa"/>
            </w:tcMar>
          </w:tcPr>
          <w:p w14:paraId="5A67D458">
            <w:pPr>
              <w:pStyle w:val="56"/>
              <w:widowControl w:val="0"/>
              <w:jc w:val="center"/>
              <w:rPr>
                <w:b/>
                <w:i/>
                <w:iCs/>
                <w:sz w:val="20"/>
                <w:szCs w:val="20"/>
              </w:rPr>
            </w:pPr>
            <w:r>
              <w:rPr>
                <w:b/>
                <w:i/>
                <w:iCs/>
                <w:sz w:val="20"/>
                <w:szCs w:val="20"/>
              </w:rPr>
              <w:t>Código de Material / Código BR</w:t>
            </w:r>
          </w:p>
        </w:tc>
        <w:tc>
          <w:tcPr>
            <w:tcW w:w="1950" w:type="dxa"/>
            <w:shd w:val="clear" w:color="auto" w:fill="CCCCCC"/>
            <w:tcMar>
              <w:top w:w="100" w:type="dxa"/>
              <w:left w:w="100" w:type="dxa"/>
              <w:bottom w:w="100" w:type="dxa"/>
              <w:right w:w="100" w:type="dxa"/>
            </w:tcMar>
          </w:tcPr>
          <w:p w14:paraId="5C4A2662">
            <w:pPr>
              <w:pStyle w:val="56"/>
              <w:widowControl w:val="0"/>
              <w:jc w:val="center"/>
              <w:rPr>
                <w:b/>
                <w:i/>
                <w:iCs/>
                <w:sz w:val="20"/>
                <w:szCs w:val="20"/>
              </w:rPr>
            </w:pPr>
            <w:r>
              <w:rPr>
                <w:b/>
                <w:i/>
                <w:iCs/>
                <w:sz w:val="20"/>
                <w:szCs w:val="20"/>
              </w:rPr>
              <w:t>Nome Padronizado</w:t>
            </w:r>
          </w:p>
        </w:tc>
        <w:tc>
          <w:tcPr>
            <w:tcW w:w="585" w:type="dxa"/>
            <w:shd w:val="clear" w:color="auto" w:fill="CCCCCC"/>
            <w:tcMar>
              <w:top w:w="100" w:type="dxa"/>
              <w:left w:w="100" w:type="dxa"/>
              <w:bottom w:w="100" w:type="dxa"/>
              <w:right w:w="100" w:type="dxa"/>
            </w:tcMar>
          </w:tcPr>
          <w:p w14:paraId="23AF6574">
            <w:pPr>
              <w:pStyle w:val="56"/>
              <w:widowControl w:val="0"/>
              <w:jc w:val="center"/>
              <w:rPr>
                <w:b/>
                <w:sz w:val="20"/>
                <w:szCs w:val="20"/>
              </w:rPr>
            </w:pPr>
            <w:r>
              <w:rPr>
                <w:b/>
                <w:sz w:val="20"/>
                <w:szCs w:val="20"/>
              </w:rPr>
              <w:t>U/C</w:t>
            </w:r>
          </w:p>
        </w:tc>
        <w:tc>
          <w:tcPr>
            <w:tcW w:w="825" w:type="dxa"/>
            <w:shd w:val="clear" w:color="auto" w:fill="CCCCCC"/>
            <w:tcMar>
              <w:top w:w="100" w:type="dxa"/>
              <w:left w:w="100" w:type="dxa"/>
              <w:bottom w:w="100" w:type="dxa"/>
              <w:right w:w="100" w:type="dxa"/>
            </w:tcMar>
          </w:tcPr>
          <w:p w14:paraId="1AD3E38B">
            <w:pPr>
              <w:pStyle w:val="56"/>
              <w:widowControl w:val="0"/>
              <w:jc w:val="center"/>
              <w:rPr>
                <w:b/>
                <w:sz w:val="20"/>
                <w:szCs w:val="20"/>
              </w:rPr>
            </w:pPr>
            <w:r>
              <w:rPr>
                <w:b/>
                <w:sz w:val="20"/>
                <w:szCs w:val="20"/>
              </w:rPr>
              <w:t>Marca</w:t>
            </w:r>
          </w:p>
        </w:tc>
        <w:tc>
          <w:tcPr>
            <w:tcW w:w="615" w:type="dxa"/>
            <w:shd w:val="clear" w:color="auto" w:fill="CCCCCC"/>
            <w:tcMar>
              <w:top w:w="100" w:type="dxa"/>
              <w:left w:w="100" w:type="dxa"/>
              <w:bottom w:w="100" w:type="dxa"/>
              <w:right w:w="100" w:type="dxa"/>
            </w:tcMar>
          </w:tcPr>
          <w:p w14:paraId="4DCCFB26">
            <w:pPr>
              <w:pStyle w:val="56"/>
              <w:widowControl w:val="0"/>
              <w:jc w:val="center"/>
              <w:rPr>
                <w:b/>
                <w:sz w:val="20"/>
                <w:szCs w:val="20"/>
              </w:rPr>
            </w:pPr>
            <w:r>
              <w:rPr>
                <w:b/>
                <w:sz w:val="20"/>
                <w:szCs w:val="20"/>
              </w:rPr>
              <w:t>Qtd</w:t>
            </w:r>
          </w:p>
        </w:tc>
        <w:tc>
          <w:tcPr>
            <w:tcW w:w="1245" w:type="dxa"/>
            <w:shd w:val="clear" w:color="auto" w:fill="CCCCCC"/>
            <w:tcMar>
              <w:top w:w="100" w:type="dxa"/>
              <w:left w:w="100" w:type="dxa"/>
              <w:bottom w:w="100" w:type="dxa"/>
              <w:right w:w="100" w:type="dxa"/>
            </w:tcMar>
          </w:tcPr>
          <w:p w14:paraId="4BCBCEB9">
            <w:pPr>
              <w:pStyle w:val="56"/>
              <w:widowControl w:val="0"/>
              <w:jc w:val="center"/>
              <w:rPr>
                <w:b/>
                <w:sz w:val="20"/>
                <w:szCs w:val="20"/>
              </w:rPr>
            </w:pPr>
            <w:r>
              <w:rPr>
                <w:b/>
                <w:sz w:val="20"/>
                <w:szCs w:val="20"/>
              </w:rPr>
              <w:t>Preço Unitário</w:t>
            </w:r>
          </w:p>
        </w:tc>
        <w:tc>
          <w:tcPr>
            <w:tcW w:w="1260" w:type="dxa"/>
            <w:shd w:val="clear" w:color="auto" w:fill="CCCCCC"/>
            <w:tcMar>
              <w:top w:w="100" w:type="dxa"/>
              <w:left w:w="100" w:type="dxa"/>
              <w:bottom w:w="100" w:type="dxa"/>
              <w:right w:w="100" w:type="dxa"/>
            </w:tcMar>
          </w:tcPr>
          <w:p w14:paraId="64C67AF4">
            <w:pPr>
              <w:pStyle w:val="56"/>
              <w:widowControl w:val="0"/>
              <w:jc w:val="center"/>
              <w:rPr>
                <w:b/>
                <w:sz w:val="20"/>
                <w:szCs w:val="20"/>
              </w:rPr>
            </w:pPr>
            <w:r>
              <w:rPr>
                <w:b/>
                <w:sz w:val="20"/>
                <w:szCs w:val="20"/>
              </w:rPr>
              <w:t>Preço Total</w:t>
            </w:r>
          </w:p>
        </w:tc>
      </w:tr>
      <w:tr w14:paraId="3B78B3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blHeader/>
        </w:trPr>
        <w:tc>
          <w:tcPr>
            <w:tcW w:w="810" w:type="dxa"/>
            <w:shd w:val="clear" w:color="auto" w:fill="auto"/>
            <w:tcMar>
              <w:top w:w="100" w:type="dxa"/>
              <w:left w:w="100" w:type="dxa"/>
              <w:bottom w:w="100" w:type="dxa"/>
              <w:right w:w="100" w:type="dxa"/>
            </w:tcMar>
          </w:tcPr>
          <w:p w14:paraId="00DBBF2B">
            <w:pPr>
              <w:pStyle w:val="56"/>
              <w:widowControl w:val="0"/>
              <w:rPr>
                <w:b/>
                <w:i/>
                <w:iCs/>
                <w:sz w:val="20"/>
                <w:szCs w:val="20"/>
              </w:rPr>
            </w:pPr>
          </w:p>
        </w:tc>
        <w:tc>
          <w:tcPr>
            <w:tcW w:w="1605" w:type="dxa"/>
            <w:shd w:val="clear" w:color="auto" w:fill="auto"/>
            <w:tcMar>
              <w:top w:w="100" w:type="dxa"/>
              <w:left w:w="100" w:type="dxa"/>
              <w:bottom w:w="100" w:type="dxa"/>
              <w:right w:w="100" w:type="dxa"/>
            </w:tcMar>
          </w:tcPr>
          <w:p w14:paraId="0941894D">
            <w:pPr>
              <w:pStyle w:val="56"/>
              <w:widowControl w:val="0"/>
              <w:rPr>
                <w:b/>
                <w:i/>
                <w:iCs/>
                <w:sz w:val="20"/>
                <w:szCs w:val="20"/>
              </w:rPr>
            </w:pPr>
          </w:p>
        </w:tc>
        <w:tc>
          <w:tcPr>
            <w:tcW w:w="1950" w:type="dxa"/>
            <w:shd w:val="clear" w:color="auto" w:fill="auto"/>
            <w:tcMar>
              <w:top w:w="100" w:type="dxa"/>
              <w:left w:w="100" w:type="dxa"/>
              <w:bottom w:w="100" w:type="dxa"/>
              <w:right w:w="100" w:type="dxa"/>
            </w:tcMar>
          </w:tcPr>
          <w:p w14:paraId="323CF6B0">
            <w:pPr>
              <w:pStyle w:val="56"/>
              <w:widowControl w:val="0"/>
              <w:rPr>
                <w:b/>
                <w:i/>
                <w:iCs/>
                <w:sz w:val="20"/>
                <w:szCs w:val="20"/>
              </w:rPr>
            </w:pPr>
            <w:r>
              <w:rPr>
                <w:b/>
                <w:i/>
                <w:iCs/>
                <w:sz w:val="20"/>
                <w:szCs w:val="20"/>
              </w:rPr>
              <w:t>Preço Unitário: Por extenso</w:t>
            </w:r>
          </w:p>
        </w:tc>
        <w:tc>
          <w:tcPr>
            <w:tcW w:w="585" w:type="dxa"/>
            <w:shd w:val="clear" w:color="auto" w:fill="auto"/>
            <w:tcMar>
              <w:top w:w="100" w:type="dxa"/>
              <w:left w:w="100" w:type="dxa"/>
              <w:bottom w:w="100" w:type="dxa"/>
              <w:right w:w="100" w:type="dxa"/>
            </w:tcMar>
          </w:tcPr>
          <w:p w14:paraId="67D08741">
            <w:pPr>
              <w:pStyle w:val="56"/>
              <w:widowControl w:val="0"/>
              <w:rPr>
                <w:b/>
                <w:sz w:val="20"/>
                <w:szCs w:val="20"/>
              </w:rPr>
            </w:pPr>
          </w:p>
        </w:tc>
        <w:tc>
          <w:tcPr>
            <w:tcW w:w="825" w:type="dxa"/>
            <w:shd w:val="clear" w:color="auto" w:fill="auto"/>
            <w:tcMar>
              <w:top w:w="100" w:type="dxa"/>
              <w:left w:w="100" w:type="dxa"/>
              <w:bottom w:w="100" w:type="dxa"/>
              <w:right w:w="100" w:type="dxa"/>
            </w:tcMar>
          </w:tcPr>
          <w:p w14:paraId="45E1AB7B">
            <w:pPr>
              <w:pStyle w:val="56"/>
              <w:widowControl w:val="0"/>
              <w:rPr>
                <w:b/>
                <w:sz w:val="20"/>
                <w:szCs w:val="20"/>
              </w:rPr>
            </w:pPr>
          </w:p>
        </w:tc>
        <w:tc>
          <w:tcPr>
            <w:tcW w:w="615" w:type="dxa"/>
            <w:shd w:val="clear" w:color="auto" w:fill="auto"/>
            <w:tcMar>
              <w:top w:w="100" w:type="dxa"/>
              <w:left w:w="100" w:type="dxa"/>
              <w:bottom w:w="100" w:type="dxa"/>
              <w:right w:w="100" w:type="dxa"/>
            </w:tcMar>
          </w:tcPr>
          <w:p w14:paraId="7D7C6E30">
            <w:pPr>
              <w:pStyle w:val="56"/>
              <w:widowControl w:val="0"/>
              <w:rPr>
                <w:b/>
                <w:sz w:val="20"/>
                <w:szCs w:val="20"/>
              </w:rPr>
            </w:pPr>
          </w:p>
        </w:tc>
        <w:tc>
          <w:tcPr>
            <w:tcW w:w="1245" w:type="dxa"/>
            <w:shd w:val="clear" w:color="auto" w:fill="auto"/>
            <w:tcMar>
              <w:top w:w="100" w:type="dxa"/>
              <w:left w:w="100" w:type="dxa"/>
              <w:bottom w:w="100" w:type="dxa"/>
              <w:right w:w="100" w:type="dxa"/>
            </w:tcMar>
          </w:tcPr>
          <w:p w14:paraId="299C25D8">
            <w:pPr>
              <w:pStyle w:val="56"/>
              <w:widowControl w:val="0"/>
              <w:rPr>
                <w:b/>
                <w:sz w:val="20"/>
                <w:szCs w:val="20"/>
              </w:rPr>
            </w:pPr>
          </w:p>
        </w:tc>
        <w:tc>
          <w:tcPr>
            <w:tcW w:w="1260" w:type="dxa"/>
            <w:shd w:val="clear" w:color="auto" w:fill="auto"/>
            <w:tcMar>
              <w:top w:w="100" w:type="dxa"/>
              <w:left w:w="100" w:type="dxa"/>
              <w:bottom w:w="100" w:type="dxa"/>
              <w:right w:w="100" w:type="dxa"/>
            </w:tcMar>
          </w:tcPr>
          <w:p w14:paraId="6664936D">
            <w:pPr>
              <w:pStyle w:val="56"/>
              <w:widowControl w:val="0"/>
              <w:rPr>
                <w:b/>
                <w:sz w:val="20"/>
                <w:szCs w:val="20"/>
              </w:rPr>
            </w:pPr>
          </w:p>
        </w:tc>
      </w:tr>
      <w:tr w14:paraId="68A8C0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blHeader/>
        </w:trPr>
        <w:tc>
          <w:tcPr>
            <w:tcW w:w="810" w:type="dxa"/>
            <w:shd w:val="clear" w:color="auto" w:fill="auto"/>
            <w:tcMar>
              <w:top w:w="100" w:type="dxa"/>
              <w:left w:w="100" w:type="dxa"/>
              <w:bottom w:w="100" w:type="dxa"/>
              <w:right w:w="100" w:type="dxa"/>
            </w:tcMar>
          </w:tcPr>
          <w:p w14:paraId="207D06D4">
            <w:pPr>
              <w:pStyle w:val="56"/>
              <w:widowControl w:val="0"/>
              <w:rPr>
                <w:b/>
                <w:i/>
                <w:iCs/>
                <w:sz w:val="20"/>
                <w:szCs w:val="20"/>
              </w:rPr>
            </w:pPr>
          </w:p>
        </w:tc>
        <w:tc>
          <w:tcPr>
            <w:tcW w:w="1605" w:type="dxa"/>
            <w:shd w:val="clear" w:color="auto" w:fill="auto"/>
            <w:tcMar>
              <w:top w:w="100" w:type="dxa"/>
              <w:left w:w="100" w:type="dxa"/>
              <w:bottom w:w="100" w:type="dxa"/>
              <w:right w:w="100" w:type="dxa"/>
            </w:tcMar>
          </w:tcPr>
          <w:p w14:paraId="777BC6EF">
            <w:pPr>
              <w:pStyle w:val="56"/>
              <w:widowControl w:val="0"/>
              <w:rPr>
                <w:b/>
                <w:i/>
                <w:iCs/>
                <w:sz w:val="20"/>
                <w:szCs w:val="20"/>
              </w:rPr>
            </w:pPr>
          </w:p>
        </w:tc>
        <w:tc>
          <w:tcPr>
            <w:tcW w:w="1950" w:type="dxa"/>
            <w:shd w:val="clear" w:color="auto" w:fill="auto"/>
            <w:tcMar>
              <w:top w:w="100" w:type="dxa"/>
              <w:left w:w="100" w:type="dxa"/>
              <w:bottom w:w="100" w:type="dxa"/>
              <w:right w:w="100" w:type="dxa"/>
            </w:tcMar>
          </w:tcPr>
          <w:p w14:paraId="628BA972">
            <w:pPr>
              <w:pStyle w:val="56"/>
              <w:widowControl w:val="0"/>
              <w:rPr>
                <w:b/>
                <w:i/>
                <w:iCs/>
                <w:sz w:val="20"/>
                <w:szCs w:val="20"/>
              </w:rPr>
            </w:pPr>
            <w:r>
              <w:rPr>
                <w:b/>
                <w:i/>
                <w:iCs/>
                <w:sz w:val="20"/>
                <w:szCs w:val="20"/>
              </w:rPr>
              <w:t>Preço Unitário: Por extenso</w:t>
            </w:r>
          </w:p>
        </w:tc>
        <w:tc>
          <w:tcPr>
            <w:tcW w:w="585" w:type="dxa"/>
            <w:shd w:val="clear" w:color="auto" w:fill="auto"/>
            <w:tcMar>
              <w:top w:w="100" w:type="dxa"/>
              <w:left w:w="100" w:type="dxa"/>
              <w:bottom w:w="100" w:type="dxa"/>
              <w:right w:w="100" w:type="dxa"/>
            </w:tcMar>
          </w:tcPr>
          <w:p w14:paraId="22F0668A">
            <w:pPr>
              <w:pStyle w:val="56"/>
              <w:widowControl w:val="0"/>
              <w:rPr>
                <w:b/>
                <w:sz w:val="20"/>
                <w:szCs w:val="20"/>
              </w:rPr>
            </w:pPr>
          </w:p>
        </w:tc>
        <w:tc>
          <w:tcPr>
            <w:tcW w:w="825" w:type="dxa"/>
            <w:shd w:val="clear" w:color="auto" w:fill="auto"/>
            <w:tcMar>
              <w:top w:w="100" w:type="dxa"/>
              <w:left w:w="100" w:type="dxa"/>
              <w:bottom w:w="100" w:type="dxa"/>
              <w:right w:w="100" w:type="dxa"/>
            </w:tcMar>
          </w:tcPr>
          <w:p w14:paraId="7B9A73BA">
            <w:pPr>
              <w:pStyle w:val="56"/>
              <w:widowControl w:val="0"/>
              <w:rPr>
                <w:b/>
                <w:sz w:val="20"/>
                <w:szCs w:val="20"/>
              </w:rPr>
            </w:pPr>
          </w:p>
        </w:tc>
        <w:tc>
          <w:tcPr>
            <w:tcW w:w="615" w:type="dxa"/>
            <w:shd w:val="clear" w:color="auto" w:fill="auto"/>
            <w:tcMar>
              <w:top w:w="100" w:type="dxa"/>
              <w:left w:w="100" w:type="dxa"/>
              <w:bottom w:w="100" w:type="dxa"/>
              <w:right w:w="100" w:type="dxa"/>
            </w:tcMar>
          </w:tcPr>
          <w:p w14:paraId="6F569E3A">
            <w:pPr>
              <w:pStyle w:val="56"/>
              <w:widowControl w:val="0"/>
              <w:rPr>
                <w:b/>
                <w:sz w:val="20"/>
                <w:szCs w:val="20"/>
              </w:rPr>
            </w:pPr>
          </w:p>
        </w:tc>
        <w:tc>
          <w:tcPr>
            <w:tcW w:w="1245" w:type="dxa"/>
            <w:shd w:val="clear" w:color="auto" w:fill="auto"/>
            <w:tcMar>
              <w:top w:w="100" w:type="dxa"/>
              <w:left w:w="100" w:type="dxa"/>
              <w:bottom w:w="100" w:type="dxa"/>
              <w:right w:w="100" w:type="dxa"/>
            </w:tcMar>
          </w:tcPr>
          <w:p w14:paraId="69011A6B">
            <w:pPr>
              <w:pStyle w:val="56"/>
              <w:widowControl w:val="0"/>
              <w:rPr>
                <w:b/>
                <w:sz w:val="20"/>
                <w:szCs w:val="20"/>
              </w:rPr>
            </w:pPr>
          </w:p>
        </w:tc>
        <w:tc>
          <w:tcPr>
            <w:tcW w:w="1260" w:type="dxa"/>
            <w:shd w:val="clear" w:color="auto" w:fill="auto"/>
            <w:tcMar>
              <w:top w:w="100" w:type="dxa"/>
              <w:left w:w="100" w:type="dxa"/>
              <w:bottom w:w="100" w:type="dxa"/>
              <w:right w:w="100" w:type="dxa"/>
            </w:tcMar>
          </w:tcPr>
          <w:p w14:paraId="6A5F64BE">
            <w:pPr>
              <w:pStyle w:val="56"/>
              <w:widowControl w:val="0"/>
              <w:rPr>
                <w:b/>
                <w:sz w:val="20"/>
                <w:szCs w:val="20"/>
              </w:rPr>
            </w:pPr>
          </w:p>
        </w:tc>
      </w:tr>
      <w:tr w14:paraId="00051E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8895" w:type="dxa"/>
            <w:gridSpan w:val="8"/>
            <w:shd w:val="clear" w:color="auto" w:fill="auto"/>
            <w:tcMar>
              <w:top w:w="100" w:type="dxa"/>
              <w:left w:w="100" w:type="dxa"/>
              <w:bottom w:w="100" w:type="dxa"/>
              <w:right w:w="100" w:type="dxa"/>
            </w:tcMar>
          </w:tcPr>
          <w:p w14:paraId="2CDEF260">
            <w:pPr>
              <w:pStyle w:val="56"/>
              <w:widowControl w:val="0"/>
              <w:rPr>
                <w:b/>
                <w:i/>
                <w:iCs/>
                <w:sz w:val="20"/>
                <w:szCs w:val="20"/>
              </w:rPr>
            </w:pPr>
            <w:r>
              <w:rPr>
                <w:b/>
                <w:i/>
                <w:iCs/>
                <w:sz w:val="20"/>
                <w:szCs w:val="20"/>
              </w:rPr>
              <w:t>Preço total lote/item: Por extenso</w:t>
            </w:r>
          </w:p>
        </w:tc>
      </w:tr>
      <w:tr w14:paraId="2902F7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8895" w:type="dxa"/>
            <w:gridSpan w:val="8"/>
            <w:shd w:val="clear" w:color="auto" w:fill="auto"/>
            <w:tcMar>
              <w:top w:w="100" w:type="dxa"/>
              <w:left w:w="100" w:type="dxa"/>
              <w:bottom w:w="100" w:type="dxa"/>
              <w:right w:w="100" w:type="dxa"/>
            </w:tcMar>
          </w:tcPr>
          <w:p w14:paraId="5F71BA3F">
            <w:pPr>
              <w:pStyle w:val="56"/>
              <w:widowControl w:val="0"/>
              <w:rPr>
                <w:b/>
                <w:i/>
                <w:iCs/>
                <w:sz w:val="20"/>
                <w:szCs w:val="20"/>
              </w:rPr>
            </w:pPr>
            <w:r>
              <w:rPr>
                <w:b/>
                <w:i/>
                <w:iCs/>
                <w:sz w:val="20"/>
                <w:szCs w:val="20"/>
              </w:rPr>
              <w:t>Preço total: Por extenso</w:t>
            </w:r>
          </w:p>
        </w:tc>
      </w:tr>
      <w:tr w14:paraId="65C588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8895" w:type="dxa"/>
            <w:gridSpan w:val="8"/>
            <w:shd w:val="clear" w:color="auto" w:fill="auto"/>
            <w:tcMar>
              <w:top w:w="100" w:type="dxa"/>
              <w:left w:w="100" w:type="dxa"/>
              <w:bottom w:w="100" w:type="dxa"/>
              <w:right w:w="100" w:type="dxa"/>
            </w:tcMar>
          </w:tcPr>
          <w:p w14:paraId="71DCDCEF">
            <w:pPr>
              <w:pStyle w:val="56"/>
              <w:widowControl w:val="0"/>
              <w:rPr>
                <w:b/>
                <w:i/>
                <w:iCs/>
                <w:sz w:val="20"/>
                <w:szCs w:val="20"/>
              </w:rPr>
            </w:pPr>
            <w:r>
              <w:rPr>
                <w:b/>
                <w:i/>
                <w:iCs/>
                <w:sz w:val="20"/>
                <w:szCs w:val="20"/>
              </w:rPr>
              <w:t>Declaramos inteira submissão aos termos desta proposta, do Edital e à Legislação em vigor.</w:t>
            </w:r>
          </w:p>
          <w:p w14:paraId="41149FF4">
            <w:pPr>
              <w:pStyle w:val="56"/>
              <w:widowControl w:val="0"/>
              <w:rPr>
                <w:b/>
                <w:i/>
                <w:iCs/>
                <w:sz w:val="20"/>
                <w:szCs w:val="20"/>
              </w:rPr>
            </w:pPr>
            <w:r>
              <w:rPr>
                <w:b/>
                <w:i/>
                <w:iCs/>
                <w:sz w:val="20"/>
                <w:szCs w:val="20"/>
              </w:rPr>
              <w:t>Valença, _______ de __________________ de ________.</w:t>
            </w:r>
          </w:p>
          <w:p w14:paraId="4F493978">
            <w:pPr>
              <w:pStyle w:val="56"/>
              <w:widowControl w:val="0"/>
              <w:rPr>
                <w:b/>
                <w:i/>
                <w:iCs/>
                <w:sz w:val="20"/>
                <w:szCs w:val="20"/>
              </w:rPr>
            </w:pPr>
            <w:r>
              <w:rPr>
                <w:b/>
                <w:i/>
                <w:iCs/>
                <w:sz w:val="20"/>
                <w:szCs w:val="20"/>
              </w:rPr>
              <w:t>_____________________________________</w:t>
            </w:r>
          </w:p>
          <w:p w14:paraId="472E84AA">
            <w:pPr>
              <w:pStyle w:val="56"/>
              <w:widowControl w:val="0"/>
              <w:rPr>
                <w:b/>
                <w:i/>
                <w:iCs/>
                <w:sz w:val="20"/>
                <w:szCs w:val="20"/>
              </w:rPr>
            </w:pPr>
            <w:r>
              <w:rPr>
                <w:b/>
                <w:i/>
                <w:iCs/>
                <w:sz w:val="20"/>
                <w:szCs w:val="20"/>
              </w:rPr>
              <w:t>Representante legal (nome por extenso)</w:t>
            </w:r>
          </w:p>
          <w:p w14:paraId="5EA43FF4">
            <w:pPr>
              <w:pStyle w:val="56"/>
              <w:widowControl w:val="0"/>
              <w:rPr>
                <w:b/>
                <w:i/>
                <w:iCs/>
                <w:sz w:val="20"/>
                <w:szCs w:val="20"/>
              </w:rPr>
            </w:pPr>
            <w:r>
              <w:rPr>
                <w:b/>
                <w:i/>
                <w:iCs/>
                <w:sz w:val="20"/>
                <w:szCs w:val="20"/>
              </w:rPr>
              <w:t>Cargo:</w:t>
            </w:r>
          </w:p>
          <w:p w14:paraId="5E365772">
            <w:pPr>
              <w:pStyle w:val="56"/>
              <w:widowControl w:val="0"/>
              <w:rPr>
                <w:b/>
                <w:i/>
                <w:iCs/>
                <w:sz w:val="20"/>
                <w:szCs w:val="20"/>
              </w:rPr>
            </w:pPr>
            <w:r>
              <w:rPr>
                <w:b/>
                <w:i/>
                <w:iCs/>
                <w:sz w:val="20"/>
                <w:szCs w:val="20"/>
              </w:rPr>
              <w:t>CPF:</w:t>
            </w:r>
          </w:p>
        </w:tc>
      </w:tr>
    </w:tbl>
    <w:p w14:paraId="660534E7">
      <w:pPr>
        <w:pStyle w:val="56"/>
        <w:jc w:val="both"/>
        <w:rPr>
          <w:rFonts w:ascii="Times New Roman" w:hAnsi="Times New Roman" w:cs="Times New Roman"/>
          <w:b/>
          <w:highlight w:val="yellow"/>
        </w:rPr>
      </w:pPr>
      <w:r>
        <w:rPr>
          <w:rFonts w:ascii="Times New Roman" w:hAnsi="Times New Roman" w:cs="Times New Roman"/>
          <w:b/>
          <w:highlight w:val="yellow"/>
        </w:rPr>
        <w:t>Deverão ser atendidas as especificações constantes no Termo de Referência.</w:t>
      </w:r>
    </w:p>
    <w:p w14:paraId="70CB81F8">
      <w:pPr>
        <w:pStyle w:val="56"/>
        <w:jc w:val="both"/>
        <w:rPr>
          <w:rFonts w:ascii="Times New Roman" w:hAnsi="Times New Roman" w:cs="Times New Roman"/>
          <w:b/>
          <w:highlight w:val="yellow"/>
        </w:rPr>
      </w:pPr>
      <w:r>
        <w:rPr>
          <w:rFonts w:ascii="Times New Roman" w:hAnsi="Times New Roman" w:cs="Times New Roman"/>
          <w:b/>
          <w:highlight w:val="yellow"/>
        </w:rPr>
        <w:t>Validade da proposta: 60 (sessenta) dias.</w:t>
      </w:r>
    </w:p>
    <w:p w14:paraId="4A45F131">
      <w:pPr>
        <w:pStyle w:val="56"/>
        <w:jc w:val="both"/>
        <w:rPr>
          <w:rFonts w:ascii="Times New Roman" w:hAnsi="Times New Roman" w:cs="Times New Roman"/>
          <w:b/>
          <w:highlight w:val="yellow"/>
        </w:rPr>
      </w:pPr>
      <w:r>
        <w:rPr>
          <w:rFonts w:ascii="Times New Roman" w:hAnsi="Times New Roman" w:cs="Times New Roman"/>
          <w:b/>
          <w:highlight w:val="yellow"/>
        </w:rPr>
        <w:t>Local de Entrega dos materiais: Conforme Termo de Referência.</w:t>
      </w:r>
    </w:p>
    <w:p w14:paraId="7842C66E">
      <w:pPr>
        <w:pStyle w:val="56"/>
        <w:jc w:val="both"/>
        <w:rPr>
          <w:rFonts w:ascii="Times New Roman" w:hAnsi="Times New Roman" w:cs="Times New Roman"/>
          <w:b/>
          <w:highlight w:val="yellow"/>
        </w:rPr>
      </w:pPr>
      <w:r>
        <w:rPr>
          <w:rFonts w:ascii="Times New Roman" w:hAnsi="Times New Roman" w:cs="Times New Roman"/>
          <w:b/>
          <w:highlight w:val="yellow"/>
        </w:rPr>
        <w:t>Obs.1: A empresa adjudicatária deverá fornecer os materiais de acordo com estabelecido na Legislação específica vigente e no Código de Defesa do Consumidor.</w:t>
      </w:r>
    </w:p>
    <w:p w14:paraId="34C35DCD">
      <w:pPr>
        <w:pStyle w:val="56"/>
        <w:jc w:val="both"/>
        <w:rPr>
          <w:rFonts w:ascii="Times New Roman" w:hAnsi="Times New Roman" w:cs="Times New Roman"/>
          <w:b/>
          <w:highlight w:val="yellow"/>
        </w:rPr>
      </w:pPr>
      <w:r>
        <w:rPr>
          <w:rFonts w:ascii="Times New Roman" w:hAnsi="Times New Roman" w:cs="Times New Roman"/>
          <w:b/>
          <w:highlight w:val="yellow"/>
        </w:rPr>
        <w:t>Obs. 2: A entrega dos materiais será aceita provisoriamente no local de entrega e após conferência de sua conformidade será o mesmo aceito definitivamente.</w:t>
      </w:r>
    </w:p>
    <w:p w14:paraId="45F2546B">
      <w:pPr>
        <w:pStyle w:val="56"/>
        <w:jc w:val="both"/>
        <w:rPr>
          <w:rFonts w:ascii="Times New Roman" w:hAnsi="Times New Roman" w:cs="Times New Roman"/>
          <w:b/>
        </w:rPr>
      </w:pPr>
      <w:r>
        <w:rPr>
          <w:rFonts w:ascii="Times New Roman" w:hAnsi="Times New Roman" w:cs="Times New Roman"/>
          <w:b/>
          <w:highlight w:val="yellow"/>
        </w:rPr>
        <w:t>Obs. 3: A proposta deverá ser elaborada em papel timbrado da empresa, com todos os dados da mesma.</w:t>
      </w:r>
    </w:p>
    <w:p w14:paraId="0BBC0050">
      <w:pPr>
        <w:pStyle w:val="56"/>
        <w:jc w:val="both"/>
        <w:rPr>
          <w:b/>
          <w:sz w:val="20"/>
          <w:szCs w:val="20"/>
        </w:rPr>
      </w:pPr>
    </w:p>
    <w:p w14:paraId="206C21E5">
      <w:pPr>
        <w:pStyle w:val="56"/>
        <w:jc w:val="both"/>
        <w:rPr>
          <w:b/>
          <w:sz w:val="20"/>
          <w:szCs w:val="20"/>
        </w:rPr>
      </w:pPr>
    </w:p>
    <w:p w14:paraId="0003E409">
      <w:pPr>
        <w:spacing w:before="288" w:beforeLines="120" w:after="288" w:afterLines="120" w:line="288" w:lineRule="auto"/>
        <w:contextualSpacing/>
        <w:jc w:val="center"/>
        <w:rPr>
          <w:rFonts w:eastAsia="MS Mincho"/>
          <w:b/>
          <w:color w:val="FF0000"/>
          <w:sz w:val="24"/>
          <w:szCs w:val="24"/>
          <w:u w:val="single"/>
        </w:rPr>
      </w:pPr>
      <w:r>
        <w:rPr>
          <w:rFonts w:eastAsia="MS Mincho"/>
          <w:b/>
          <w:sz w:val="24"/>
          <w:szCs w:val="24"/>
          <w:highlight w:val="yellow"/>
          <w:u w:val="single"/>
        </w:rPr>
        <w:t>ANEXO</w:t>
      </w:r>
      <w:r>
        <w:rPr>
          <w:rFonts w:eastAsia="MS Mincho"/>
          <w:b/>
          <w:color w:val="000000" w:themeColor="text1"/>
          <w:sz w:val="24"/>
          <w:szCs w:val="24"/>
          <w:highlight w:val="yellow"/>
          <w:u w:val="single"/>
          <w14:textFill>
            <w14:solidFill>
              <w14:schemeClr w14:val="tx1"/>
            </w14:solidFill>
          </w14:textFill>
        </w:rPr>
        <w:t xml:space="preserve"> IV </w:t>
      </w:r>
      <w:r>
        <w:rPr>
          <w:rFonts w:eastAsia="MS Mincho"/>
          <w:b/>
          <w:sz w:val="24"/>
          <w:szCs w:val="24"/>
          <w:highlight w:val="yellow"/>
          <w:u w:val="single"/>
        </w:rPr>
        <w:t>– DOCUMENTAÇÃO EXIGIDA PARA HABILITAÇÃO</w:t>
      </w:r>
    </w:p>
    <w:p w14:paraId="77EF0B47">
      <w:pPr>
        <w:pStyle w:val="56"/>
        <w:jc w:val="both"/>
        <w:rPr>
          <w:rFonts w:ascii="Times New Roman" w:hAnsi="Times New Roman" w:cs="Times New Roman"/>
          <w:b/>
          <w:sz w:val="24"/>
          <w:szCs w:val="24"/>
        </w:rPr>
      </w:pPr>
    </w:p>
    <w:p w14:paraId="578E27C8">
      <w:pPr>
        <w:pStyle w:val="56"/>
        <w:jc w:val="both"/>
        <w:rPr>
          <w:rFonts w:ascii="Times New Roman" w:hAnsi="Times New Roman" w:cs="Times New Roman"/>
          <w:b/>
          <w:sz w:val="24"/>
          <w:szCs w:val="24"/>
        </w:rPr>
      </w:pPr>
    </w:p>
    <w:p w14:paraId="2F1A898A">
      <w:pPr>
        <w:spacing w:line="288" w:lineRule="auto"/>
        <w:contextualSpacing/>
        <w:rPr>
          <w:b/>
          <w:bCs/>
          <w:sz w:val="24"/>
          <w:szCs w:val="24"/>
        </w:rPr>
      </w:pPr>
      <w:r>
        <w:rPr>
          <w:b/>
          <w:bCs/>
          <w:sz w:val="24"/>
          <w:szCs w:val="24"/>
        </w:rPr>
        <w:t>1. HABILITAÇÃO JURÍDICA</w:t>
      </w:r>
    </w:p>
    <w:p w14:paraId="281B379E">
      <w:pPr>
        <w:spacing w:line="288" w:lineRule="auto"/>
        <w:contextualSpacing/>
        <w:rPr>
          <w:sz w:val="24"/>
          <w:szCs w:val="24"/>
        </w:rPr>
      </w:pPr>
    </w:p>
    <w:p w14:paraId="373182FD">
      <w:pPr>
        <w:spacing w:before="240" w:after="240" w:line="288" w:lineRule="auto"/>
        <w:contextualSpacing/>
        <w:jc w:val="both"/>
        <w:rPr>
          <w:sz w:val="24"/>
          <w:szCs w:val="24"/>
        </w:rPr>
      </w:pPr>
      <w:r>
        <w:rPr>
          <w:bCs/>
          <w:sz w:val="24"/>
          <w:szCs w:val="24"/>
        </w:rPr>
        <w:t xml:space="preserve">1.1 </w:t>
      </w:r>
      <w:r>
        <w:rPr>
          <w:sz w:val="24"/>
          <w:szCs w:val="24"/>
        </w:rPr>
        <w:t>Pessoa física: cédula de identidade (RG) ou documento equivalente que, por força de lei, tenha validade para fins de identificação em todo o território nacional.</w:t>
      </w:r>
    </w:p>
    <w:p w14:paraId="017AEE8B">
      <w:pPr>
        <w:tabs>
          <w:tab w:val="left" w:pos="1440"/>
        </w:tabs>
        <w:autoSpaceDE w:val="0"/>
        <w:snapToGrid w:val="0"/>
        <w:spacing w:line="288" w:lineRule="auto"/>
        <w:contextualSpacing/>
        <w:jc w:val="both"/>
        <w:rPr>
          <w:sz w:val="24"/>
          <w:szCs w:val="24"/>
        </w:rPr>
      </w:pPr>
    </w:p>
    <w:p w14:paraId="641DFAAC">
      <w:pPr>
        <w:tabs>
          <w:tab w:val="left" w:pos="1440"/>
        </w:tabs>
        <w:autoSpaceDE w:val="0"/>
        <w:snapToGrid w:val="0"/>
        <w:spacing w:line="288" w:lineRule="auto"/>
        <w:contextualSpacing/>
        <w:jc w:val="both"/>
        <w:rPr>
          <w:sz w:val="24"/>
          <w:szCs w:val="24"/>
        </w:rPr>
      </w:pPr>
      <w:r>
        <w:rPr>
          <w:sz w:val="24"/>
          <w:szCs w:val="24"/>
        </w:rPr>
        <w:t>1.2 Empresário individual: inscrição no Registro Público de Empresas Mercantis, a cargo da Junta Comercial da respectiva sede.</w:t>
      </w:r>
    </w:p>
    <w:p w14:paraId="6D2690D1">
      <w:pPr>
        <w:tabs>
          <w:tab w:val="left" w:pos="1440"/>
        </w:tabs>
        <w:autoSpaceDE w:val="0"/>
        <w:snapToGrid w:val="0"/>
        <w:spacing w:line="288" w:lineRule="auto"/>
        <w:contextualSpacing/>
        <w:jc w:val="both"/>
        <w:rPr>
          <w:sz w:val="24"/>
          <w:szCs w:val="24"/>
        </w:rPr>
      </w:pPr>
    </w:p>
    <w:p w14:paraId="7B8EA2A6">
      <w:pPr>
        <w:tabs>
          <w:tab w:val="left" w:pos="1440"/>
        </w:tabs>
        <w:autoSpaceDE w:val="0"/>
        <w:snapToGrid w:val="0"/>
        <w:spacing w:line="288" w:lineRule="auto"/>
        <w:contextualSpacing/>
        <w:jc w:val="both"/>
        <w:rPr>
          <w:color w:val="000000"/>
          <w:sz w:val="24"/>
          <w:szCs w:val="24"/>
        </w:rPr>
      </w:pPr>
      <w:r>
        <w:rPr>
          <w:color w:val="000000"/>
          <w:sz w:val="24"/>
          <w:szCs w:val="24"/>
        </w:rPr>
        <w:t xml:space="preserve">1.3 Microempreendedor Individual - MEI: Certificado da Condição de Microempreendedor Individual - CCMEI, cuja aceitação ficará condicionada à verificação da autenticidade no sítio </w:t>
      </w:r>
      <w:r>
        <w:fldChar w:fldCharType="begin"/>
      </w:r>
      <w:r>
        <w:instrText xml:space="preserve"> HYPERLINK "http://www.portaldoempreendedor.gov.br" </w:instrText>
      </w:r>
      <w:r>
        <w:fldChar w:fldCharType="separate"/>
      </w:r>
      <w:r>
        <w:rPr>
          <w:rStyle w:val="14"/>
          <w:rFonts w:eastAsiaTheme="minorHAnsi"/>
          <w:sz w:val="24"/>
          <w:szCs w:val="24"/>
        </w:rPr>
        <w:t>www.portaldoempreendedor.gov.br</w:t>
      </w:r>
      <w:r>
        <w:rPr>
          <w:rStyle w:val="14"/>
          <w:rFonts w:eastAsiaTheme="minorHAnsi"/>
          <w:sz w:val="24"/>
          <w:szCs w:val="24"/>
        </w:rPr>
        <w:fldChar w:fldCharType="end"/>
      </w:r>
      <w:r>
        <w:rPr>
          <w:color w:val="000000"/>
          <w:sz w:val="24"/>
          <w:szCs w:val="24"/>
        </w:rPr>
        <w:t>.</w:t>
      </w:r>
    </w:p>
    <w:p w14:paraId="2A02BCE8">
      <w:pPr>
        <w:tabs>
          <w:tab w:val="left" w:pos="1440"/>
        </w:tabs>
        <w:autoSpaceDE w:val="0"/>
        <w:snapToGrid w:val="0"/>
        <w:spacing w:line="288" w:lineRule="auto"/>
        <w:contextualSpacing/>
        <w:rPr>
          <w:color w:val="000000"/>
          <w:sz w:val="24"/>
          <w:szCs w:val="24"/>
        </w:rPr>
      </w:pPr>
    </w:p>
    <w:p w14:paraId="4615DAD6">
      <w:pPr>
        <w:tabs>
          <w:tab w:val="left" w:pos="1440"/>
        </w:tabs>
        <w:autoSpaceDE w:val="0"/>
        <w:snapToGrid w:val="0"/>
        <w:spacing w:line="288" w:lineRule="auto"/>
        <w:contextualSpacing/>
        <w:jc w:val="both"/>
        <w:rPr>
          <w:color w:val="000000"/>
          <w:sz w:val="24"/>
          <w:szCs w:val="24"/>
        </w:rPr>
      </w:pPr>
      <w:r>
        <w:rPr>
          <w:color w:val="000000"/>
          <w:sz w:val="24"/>
          <w:szCs w:val="24"/>
        </w:rPr>
        <w:t xml:space="preserve">1.4 Sociedade Limitada Unipessoal - SLU: ato constitutivo, estatuto ou contrato social em vigor inscrito </w:t>
      </w:r>
      <w:r>
        <w:rPr>
          <w:sz w:val="24"/>
          <w:szCs w:val="24"/>
        </w:rPr>
        <w:t>no Registro Público de Empresas Mercantis, a cargo</w:t>
      </w:r>
      <w:r>
        <w:rPr>
          <w:color w:val="000000"/>
          <w:sz w:val="24"/>
          <w:szCs w:val="24"/>
        </w:rPr>
        <w:t xml:space="preserve"> da Junta Comercial da respectiva sede, acompanhado de documento comprobatório do administrador, sendo assim enquadrada a sociedade identificada como Empresas Individual de Responsabilidade Limitada – EIRELI, na forma do art. 41, da Lei nº 14.195, de 26 de agosto de 2021.</w:t>
      </w:r>
    </w:p>
    <w:p w14:paraId="4F791351">
      <w:pPr>
        <w:tabs>
          <w:tab w:val="left" w:pos="1440"/>
        </w:tabs>
        <w:autoSpaceDE w:val="0"/>
        <w:snapToGrid w:val="0"/>
        <w:spacing w:line="288" w:lineRule="auto"/>
        <w:contextualSpacing/>
        <w:rPr>
          <w:sz w:val="24"/>
          <w:szCs w:val="24"/>
        </w:rPr>
      </w:pPr>
    </w:p>
    <w:p w14:paraId="72E6E084">
      <w:pPr>
        <w:spacing w:line="288" w:lineRule="auto"/>
        <w:contextualSpacing/>
        <w:jc w:val="both"/>
        <w:rPr>
          <w:color w:val="000000"/>
          <w:sz w:val="24"/>
          <w:szCs w:val="24"/>
        </w:rPr>
      </w:pPr>
      <w:r>
        <w:rPr>
          <w:color w:val="000000"/>
          <w:sz w:val="24"/>
          <w:szCs w:val="24"/>
        </w:rPr>
        <w:t xml:space="preserve">1.5 Sociedade Empresária Estrangeira em funcionamento no País: </w:t>
      </w:r>
      <w:r>
        <w:rPr>
          <w:sz w:val="24"/>
          <w:szCs w:val="24"/>
        </w:rPr>
        <w:t>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 ou norma posterior que regule a matéria.</w:t>
      </w:r>
    </w:p>
    <w:p w14:paraId="1E401CD8">
      <w:pPr>
        <w:tabs>
          <w:tab w:val="left" w:pos="1440"/>
        </w:tabs>
        <w:autoSpaceDE w:val="0"/>
        <w:snapToGrid w:val="0"/>
        <w:spacing w:line="288" w:lineRule="auto"/>
        <w:contextualSpacing/>
        <w:jc w:val="both"/>
        <w:rPr>
          <w:color w:val="000000"/>
          <w:sz w:val="24"/>
          <w:szCs w:val="24"/>
        </w:rPr>
      </w:pPr>
    </w:p>
    <w:p w14:paraId="1C9F4BBC">
      <w:pPr>
        <w:tabs>
          <w:tab w:val="left" w:pos="1440"/>
        </w:tabs>
        <w:autoSpaceDE w:val="0"/>
        <w:snapToGrid w:val="0"/>
        <w:spacing w:line="288" w:lineRule="auto"/>
        <w:contextualSpacing/>
        <w:jc w:val="both"/>
        <w:rPr>
          <w:color w:val="000000"/>
          <w:sz w:val="24"/>
          <w:szCs w:val="24"/>
        </w:rPr>
      </w:pPr>
      <w:r>
        <w:rPr>
          <w:color w:val="000000"/>
          <w:sz w:val="24"/>
          <w:szCs w:val="24"/>
        </w:rPr>
        <w:t>1.6 Sociedade Simples: inscrição do ato constitutivo no Registro Civil das Pessoas Jurídicas do local de sua sede, acompanhada de prova da indicação dos seus administradores.</w:t>
      </w:r>
    </w:p>
    <w:p w14:paraId="262926CB">
      <w:pPr>
        <w:tabs>
          <w:tab w:val="left" w:pos="1440"/>
        </w:tabs>
        <w:autoSpaceDE w:val="0"/>
        <w:snapToGrid w:val="0"/>
        <w:spacing w:line="288" w:lineRule="auto"/>
        <w:contextualSpacing/>
        <w:jc w:val="both"/>
        <w:rPr>
          <w:color w:val="000000"/>
          <w:sz w:val="24"/>
          <w:szCs w:val="24"/>
        </w:rPr>
      </w:pPr>
    </w:p>
    <w:p w14:paraId="13C1F5C4">
      <w:pPr>
        <w:tabs>
          <w:tab w:val="left" w:pos="1440"/>
        </w:tabs>
        <w:autoSpaceDE w:val="0"/>
        <w:snapToGrid w:val="0"/>
        <w:spacing w:line="288" w:lineRule="auto"/>
        <w:contextualSpacing/>
        <w:jc w:val="both"/>
        <w:rPr>
          <w:color w:val="000000"/>
          <w:sz w:val="24"/>
          <w:szCs w:val="24"/>
        </w:rPr>
      </w:pPr>
      <w:r>
        <w:rPr>
          <w:color w:val="000000"/>
          <w:sz w:val="24"/>
          <w:szCs w:val="24"/>
        </w:rPr>
        <w:t xml:space="preserve">1.7 </w:t>
      </w:r>
      <w:r>
        <w:rPr>
          <w:sz w:val="24"/>
          <w:szCs w:val="24"/>
        </w:rPr>
        <w:t>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se encontra estabelecida a matriz.</w:t>
      </w:r>
    </w:p>
    <w:p w14:paraId="12FE26A4">
      <w:pPr>
        <w:tabs>
          <w:tab w:val="left" w:pos="1440"/>
        </w:tabs>
        <w:autoSpaceDE w:val="0"/>
        <w:snapToGrid w:val="0"/>
        <w:spacing w:line="288" w:lineRule="auto"/>
        <w:contextualSpacing/>
        <w:jc w:val="both"/>
        <w:rPr>
          <w:color w:val="000000"/>
          <w:sz w:val="24"/>
          <w:szCs w:val="24"/>
        </w:rPr>
      </w:pPr>
    </w:p>
    <w:p w14:paraId="3B1D0B2A">
      <w:pPr>
        <w:tabs>
          <w:tab w:val="left" w:pos="1440"/>
        </w:tabs>
        <w:autoSpaceDE w:val="0"/>
        <w:snapToGrid w:val="0"/>
        <w:spacing w:line="288" w:lineRule="auto"/>
        <w:contextualSpacing/>
        <w:jc w:val="both"/>
        <w:rPr>
          <w:sz w:val="24"/>
          <w:szCs w:val="24"/>
        </w:rPr>
      </w:pPr>
      <w:r>
        <w:rPr>
          <w:sz w:val="24"/>
          <w:szCs w:val="24"/>
        </w:rPr>
        <w:t>1.8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16 de dezembro de 1971, demonstrando que a sua constituição e funcionamento observam as regras estabelecidas na legislação aplicável, em especial a Lei nº 5.764/1971, a Lei nº 12.690, de 19 de julho de 2012, e a Lei Complementar nº 130, de 17 de abril de 2009.</w:t>
      </w:r>
    </w:p>
    <w:p w14:paraId="64421CD4">
      <w:pPr>
        <w:tabs>
          <w:tab w:val="left" w:pos="1440"/>
        </w:tabs>
        <w:autoSpaceDE w:val="0"/>
        <w:snapToGrid w:val="0"/>
        <w:spacing w:line="288" w:lineRule="auto"/>
        <w:contextualSpacing/>
        <w:jc w:val="both"/>
        <w:rPr>
          <w:sz w:val="24"/>
          <w:szCs w:val="24"/>
        </w:rPr>
      </w:pPr>
    </w:p>
    <w:p w14:paraId="5758D14C">
      <w:pPr>
        <w:spacing w:line="288" w:lineRule="auto"/>
        <w:contextualSpacing/>
        <w:rPr>
          <w:sz w:val="24"/>
          <w:szCs w:val="24"/>
        </w:rPr>
      </w:pPr>
      <w:r>
        <w:rPr>
          <w:bCs/>
          <w:sz w:val="24"/>
          <w:szCs w:val="24"/>
        </w:rPr>
        <w:t xml:space="preserve">1.9 </w:t>
      </w:r>
      <w:r>
        <w:rPr>
          <w:bCs/>
          <w:color w:val="000000"/>
          <w:sz w:val="24"/>
          <w:szCs w:val="24"/>
        </w:rPr>
        <w:t>Quando cabível, os documentos apresentados devem estar acompanhados de todas as alterações ou da consolidação respectiva.</w:t>
      </w:r>
    </w:p>
    <w:p w14:paraId="05623A1D">
      <w:pPr>
        <w:spacing w:line="288" w:lineRule="auto"/>
        <w:contextualSpacing/>
        <w:rPr>
          <w:sz w:val="24"/>
          <w:szCs w:val="24"/>
        </w:rPr>
      </w:pPr>
    </w:p>
    <w:p w14:paraId="245C146C">
      <w:pPr>
        <w:spacing w:line="288" w:lineRule="auto"/>
        <w:contextualSpacing/>
        <w:rPr>
          <w:b/>
          <w:bCs/>
          <w:color w:val="000000"/>
          <w:sz w:val="24"/>
          <w:szCs w:val="24"/>
        </w:rPr>
      </w:pPr>
      <w:r>
        <w:rPr>
          <w:b/>
          <w:bCs/>
          <w:sz w:val="24"/>
          <w:szCs w:val="24"/>
        </w:rPr>
        <w:t xml:space="preserve">2. HABILITAÇÃO </w:t>
      </w:r>
      <w:r>
        <w:rPr>
          <w:b/>
          <w:bCs/>
          <w:color w:val="000000"/>
          <w:sz w:val="24"/>
          <w:szCs w:val="24"/>
        </w:rPr>
        <w:t>FISCAL, SOCIAL E TRABALHISTA:</w:t>
      </w:r>
    </w:p>
    <w:p w14:paraId="7B883B50">
      <w:pPr>
        <w:spacing w:line="288" w:lineRule="auto"/>
        <w:contextualSpacing/>
        <w:rPr>
          <w:b/>
          <w:bCs/>
          <w:color w:val="000000"/>
          <w:sz w:val="24"/>
          <w:szCs w:val="24"/>
        </w:rPr>
      </w:pPr>
    </w:p>
    <w:p w14:paraId="3458623A">
      <w:pPr>
        <w:tabs>
          <w:tab w:val="left" w:pos="1440"/>
        </w:tabs>
        <w:autoSpaceDE w:val="0"/>
        <w:snapToGrid w:val="0"/>
        <w:spacing w:line="288" w:lineRule="auto"/>
        <w:contextualSpacing/>
        <w:jc w:val="both"/>
        <w:rPr>
          <w:sz w:val="24"/>
          <w:szCs w:val="24"/>
          <w:lang w:eastAsia="en-US"/>
        </w:rPr>
      </w:pPr>
      <w:r>
        <w:rPr>
          <w:sz w:val="24"/>
          <w:szCs w:val="24"/>
          <w:lang w:eastAsia="en-US"/>
        </w:rPr>
        <w:t>2.1 Inscrição no Cadastro Nacional de Pessoas Jurídicas ou no Cadastro de Pessoas Físicas, conforme o caso.</w:t>
      </w:r>
    </w:p>
    <w:p w14:paraId="3DBD0FC8">
      <w:pPr>
        <w:tabs>
          <w:tab w:val="left" w:pos="1440"/>
        </w:tabs>
        <w:autoSpaceDE w:val="0"/>
        <w:snapToGrid w:val="0"/>
        <w:spacing w:line="288" w:lineRule="auto"/>
        <w:contextualSpacing/>
        <w:jc w:val="both"/>
        <w:rPr>
          <w:sz w:val="24"/>
          <w:szCs w:val="24"/>
          <w:lang w:eastAsia="en-US"/>
        </w:rPr>
      </w:pPr>
    </w:p>
    <w:p w14:paraId="191334CA">
      <w:pPr>
        <w:tabs>
          <w:tab w:val="left" w:pos="1440"/>
        </w:tabs>
        <w:autoSpaceDE w:val="0"/>
        <w:snapToGrid w:val="0"/>
        <w:spacing w:line="288" w:lineRule="auto"/>
        <w:contextualSpacing/>
        <w:jc w:val="both"/>
        <w:rPr>
          <w:sz w:val="24"/>
          <w:szCs w:val="24"/>
        </w:rPr>
      </w:pPr>
      <w:r>
        <w:rPr>
          <w:sz w:val="24"/>
          <w:szCs w:val="24"/>
        </w:rPr>
        <w:t xml:space="preserve">2.2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w:t>
      </w:r>
    </w:p>
    <w:p w14:paraId="10DCE7A7">
      <w:pPr>
        <w:tabs>
          <w:tab w:val="left" w:pos="1440"/>
        </w:tabs>
        <w:autoSpaceDE w:val="0"/>
        <w:snapToGrid w:val="0"/>
        <w:spacing w:line="288" w:lineRule="auto"/>
        <w:contextualSpacing/>
        <w:jc w:val="both"/>
        <w:rPr>
          <w:sz w:val="24"/>
          <w:szCs w:val="24"/>
        </w:rPr>
      </w:pPr>
    </w:p>
    <w:p w14:paraId="05AFA2FA">
      <w:pPr>
        <w:tabs>
          <w:tab w:val="left" w:pos="1440"/>
        </w:tabs>
        <w:autoSpaceDE w:val="0"/>
        <w:snapToGrid w:val="0"/>
        <w:spacing w:line="288" w:lineRule="auto"/>
        <w:contextualSpacing/>
        <w:jc w:val="both"/>
        <w:rPr>
          <w:sz w:val="24"/>
          <w:szCs w:val="24"/>
        </w:rPr>
      </w:pPr>
      <w:r>
        <w:rPr>
          <w:color w:val="000000"/>
          <w:sz w:val="24"/>
          <w:szCs w:val="24"/>
          <w:lang w:eastAsia="en-US"/>
        </w:rPr>
        <w:t>2.3 Regularidade com o Fundo de Garantia do Tempo de Serviço (FGTS).</w:t>
      </w:r>
    </w:p>
    <w:p w14:paraId="3E0BF1DD">
      <w:pPr>
        <w:tabs>
          <w:tab w:val="left" w:pos="1440"/>
        </w:tabs>
        <w:autoSpaceDE w:val="0"/>
        <w:snapToGrid w:val="0"/>
        <w:spacing w:line="288" w:lineRule="auto"/>
        <w:contextualSpacing/>
        <w:jc w:val="both"/>
        <w:rPr>
          <w:sz w:val="24"/>
          <w:szCs w:val="24"/>
        </w:rPr>
      </w:pPr>
    </w:p>
    <w:p w14:paraId="6B4A8918">
      <w:pPr>
        <w:tabs>
          <w:tab w:val="left" w:pos="1440"/>
        </w:tabs>
        <w:autoSpaceDE w:val="0"/>
        <w:snapToGrid w:val="0"/>
        <w:spacing w:line="288" w:lineRule="auto"/>
        <w:contextualSpacing/>
        <w:jc w:val="both"/>
        <w:rPr>
          <w:sz w:val="24"/>
          <w:szCs w:val="24"/>
        </w:rPr>
      </w:pPr>
      <w:r>
        <w:rPr>
          <w:color w:val="000000"/>
          <w:sz w:val="24"/>
          <w:szCs w:val="24"/>
        </w:rPr>
        <w:t>2.4 Declaração de que não emprega menor de 18 anos em trabalho noturno, perigoso ou insalubre e não emprega menor de 16 anos, salvo menor, a partir de 14 anos, na condição de aprendiz, nos termos do art. 7°, XXXIII, da Constituição.</w:t>
      </w:r>
    </w:p>
    <w:p w14:paraId="257A4772">
      <w:pPr>
        <w:tabs>
          <w:tab w:val="left" w:pos="1440"/>
        </w:tabs>
        <w:autoSpaceDE w:val="0"/>
        <w:snapToGrid w:val="0"/>
        <w:spacing w:line="288" w:lineRule="auto"/>
        <w:contextualSpacing/>
        <w:jc w:val="both"/>
        <w:rPr>
          <w:color w:val="000000"/>
          <w:sz w:val="24"/>
          <w:szCs w:val="24"/>
        </w:rPr>
      </w:pPr>
    </w:p>
    <w:p w14:paraId="5F139F47">
      <w:pPr>
        <w:tabs>
          <w:tab w:val="left" w:pos="1440"/>
        </w:tabs>
        <w:autoSpaceDE w:val="0"/>
        <w:snapToGrid w:val="0"/>
        <w:spacing w:line="288" w:lineRule="auto"/>
        <w:contextualSpacing/>
        <w:jc w:val="both"/>
        <w:rPr>
          <w:sz w:val="24"/>
          <w:szCs w:val="24"/>
          <w:lang w:eastAsia="en-US"/>
        </w:rPr>
      </w:pPr>
      <w:r>
        <w:rPr>
          <w:sz w:val="24"/>
          <w:szCs w:val="24"/>
          <w:lang w:eastAsia="en-US"/>
        </w:rPr>
        <w:t>2.5 Prova de inexistência de débitos inadimplidos perante a Justiça do Trabalho, mediante a apresentação de certidão negativa ou positiva com efeito de negativa, nos termos do Título VII-A da Consolidação das Leis do Trabalho.</w:t>
      </w:r>
    </w:p>
    <w:p w14:paraId="0ED24FD9">
      <w:pPr>
        <w:tabs>
          <w:tab w:val="left" w:pos="1440"/>
        </w:tabs>
        <w:autoSpaceDE w:val="0"/>
        <w:snapToGrid w:val="0"/>
        <w:spacing w:line="288" w:lineRule="auto"/>
        <w:contextualSpacing/>
        <w:jc w:val="both"/>
        <w:rPr>
          <w:sz w:val="24"/>
          <w:szCs w:val="24"/>
          <w:lang w:eastAsia="en-US"/>
        </w:rPr>
      </w:pPr>
    </w:p>
    <w:p w14:paraId="354DDE45">
      <w:pPr>
        <w:tabs>
          <w:tab w:val="left" w:pos="1440"/>
        </w:tabs>
        <w:autoSpaceDE w:val="0"/>
        <w:snapToGrid w:val="0"/>
        <w:spacing w:line="288" w:lineRule="auto"/>
        <w:contextualSpacing/>
        <w:jc w:val="both"/>
        <w:rPr>
          <w:bCs/>
          <w:sz w:val="24"/>
          <w:szCs w:val="24"/>
        </w:rPr>
      </w:pPr>
      <w:r>
        <w:rPr>
          <w:bCs/>
          <w:sz w:val="24"/>
          <w:szCs w:val="24"/>
        </w:rPr>
        <w:t xml:space="preserve">2.6 Prova de </w:t>
      </w:r>
      <w:r>
        <w:rPr>
          <w:color w:val="000000"/>
          <w:sz w:val="24"/>
          <w:szCs w:val="24"/>
        </w:rPr>
        <w:t xml:space="preserve">inscrição no cadastro de contribuintes </w:t>
      </w:r>
      <w:r>
        <w:rPr>
          <w:sz w:val="24"/>
          <w:szCs w:val="24"/>
        </w:rPr>
        <w:t>estadual/distrital</w:t>
      </w:r>
      <w:r>
        <w:rPr>
          <w:color w:val="000000"/>
          <w:sz w:val="24"/>
          <w:szCs w:val="24"/>
        </w:rPr>
        <w:t>, relativo ao domicílio ou sede do fornecedor, pertinente ao seu ramo de atividade e compatível com o objeto contratual</w:t>
      </w:r>
      <w:r>
        <w:rPr>
          <w:bCs/>
          <w:sz w:val="24"/>
          <w:szCs w:val="24"/>
        </w:rPr>
        <w:t>.</w:t>
      </w:r>
    </w:p>
    <w:p w14:paraId="0754DDE1">
      <w:pPr>
        <w:tabs>
          <w:tab w:val="left" w:pos="1440"/>
        </w:tabs>
        <w:autoSpaceDE w:val="0"/>
        <w:snapToGrid w:val="0"/>
        <w:spacing w:line="288" w:lineRule="auto"/>
        <w:contextualSpacing/>
        <w:jc w:val="both"/>
        <w:rPr>
          <w:bCs/>
          <w:sz w:val="24"/>
          <w:szCs w:val="24"/>
        </w:rPr>
      </w:pPr>
    </w:p>
    <w:p w14:paraId="5DD0A7ED">
      <w:pPr>
        <w:tabs>
          <w:tab w:val="left" w:pos="1440"/>
        </w:tabs>
        <w:autoSpaceDE w:val="0"/>
        <w:snapToGrid w:val="0"/>
        <w:spacing w:line="288" w:lineRule="auto"/>
        <w:contextualSpacing/>
        <w:jc w:val="both"/>
        <w:rPr>
          <w:sz w:val="24"/>
          <w:szCs w:val="24"/>
          <w:lang w:eastAsia="en-US"/>
        </w:rPr>
      </w:pPr>
      <w:r>
        <w:rPr>
          <w:bCs/>
          <w:sz w:val="24"/>
          <w:szCs w:val="24"/>
        </w:rPr>
        <w:t xml:space="preserve">2.6.1 O fornecedor enquadrado como microempreendedor individual que pretenda auferir os benefícios do tratamento diferenciado previstos na </w:t>
      </w:r>
      <w:r>
        <w:fldChar w:fldCharType="begin"/>
      </w:r>
      <w:r>
        <w:instrText xml:space="preserve"> HYPERLINK "https://www.planalto.gov.br/ccivil_03/leis/lcp/lcp123.htm" </w:instrText>
      </w:r>
      <w:r>
        <w:fldChar w:fldCharType="separate"/>
      </w:r>
      <w:r>
        <w:rPr>
          <w:rStyle w:val="14"/>
          <w:rFonts w:eastAsiaTheme="minorHAnsi"/>
          <w:bCs/>
          <w:sz w:val="24"/>
          <w:szCs w:val="24"/>
        </w:rPr>
        <w:t>Lei Complementar nº 123/2006</w:t>
      </w:r>
      <w:r>
        <w:rPr>
          <w:rStyle w:val="14"/>
          <w:rFonts w:eastAsiaTheme="minorHAnsi"/>
          <w:bCs/>
          <w:sz w:val="24"/>
          <w:szCs w:val="24"/>
        </w:rPr>
        <w:fldChar w:fldCharType="end"/>
      </w:r>
      <w:r>
        <w:rPr>
          <w:bCs/>
          <w:sz w:val="24"/>
          <w:szCs w:val="24"/>
        </w:rPr>
        <w:t xml:space="preserve">, estará dispensado da prova de inscrição nos cadastros de contribuintes estadual e municipal, eis que a </w:t>
      </w:r>
      <w:r>
        <w:rPr>
          <w:sz w:val="24"/>
          <w:szCs w:val="24"/>
        </w:rPr>
        <w:t>apresentação do Certificado de Condição de Microempreendedor Individual – CCMEI supre tais requisitos.</w:t>
      </w:r>
    </w:p>
    <w:p w14:paraId="28C708DD">
      <w:pPr>
        <w:tabs>
          <w:tab w:val="left" w:pos="1440"/>
        </w:tabs>
        <w:autoSpaceDE w:val="0"/>
        <w:snapToGrid w:val="0"/>
        <w:spacing w:line="288" w:lineRule="auto"/>
        <w:contextualSpacing/>
        <w:jc w:val="both"/>
        <w:rPr>
          <w:sz w:val="24"/>
          <w:szCs w:val="24"/>
          <w:lang w:eastAsia="en-US"/>
        </w:rPr>
      </w:pPr>
    </w:p>
    <w:p w14:paraId="76ABD0FC">
      <w:pPr>
        <w:tabs>
          <w:tab w:val="left" w:pos="1440"/>
        </w:tabs>
        <w:autoSpaceDE w:val="0"/>
        <w:snapToGrid w:val="0"/>
        <w:spacing w:line="288" w:lineRule="auto"/>
        <w:contextualSpacing/>
        <w:jc w:val="both"/>
        <w:rPr>
          <w:sz w:val="24"/>
          <w:szCs w:val="24"/>
        </w:rPr>
      </w:pPr>
      <w:r>
        <w:rPr>
          <w:sz w:val="24"/>
          <w:szCs w:val="24"/>
        </w:rPr>
        <w:t>2.7 Prova de regularidade com a Fazenda do Estado do Rio de Janeiro, mediante a apresentação de:</w:t>
      </w:r>
    </w:p>
    <w:p w14:paraId="387D576C">
      <w:pPr>
        <w:tabs>
          <w:tab w:val="left" w:pos="1440"/>
        </w:tabs>
        <w:autoSpaceDE w:val="0"/>
        <w:snapToGrid w:val="0"/>
        <w:spacing w:line="288" w:lineRule="auto"/>
        <w:contextualSpacing/>
        <w:jc w:val="both"/>
        <w:rPr>
          <w:sz w:val="24"/>
          <w:szCs w:val="24"/>
        </w:rPr>
      </w:pPr>
    </w:p>
    <w:p w14:paraId="3B8F9816">
      <w:pPr>
        <w:tabs>
          <w:tab w:val="left" w:pos="1440"/>
        </w:tabs>
        <w:autoSpaceDE w:val="0"/>
        <w:snapToGrid w:val="0"/>
        <w:spacing w:line="288" w:lineRule="auto"/>
        <w:contextualSpacing/>
        <w:jc w:val="both"/>
        <w:rPr>
          <w:sz w:val="24"/>
          <w:szCs w:val="24"/>
          <w:lang w:eastAsia="en-US"/>
        </w:rPr>
      </w:pPr>
      <w:r>
        <w:rPr>
          <w:sz w:val="24"/>
          <w:szCs w:val="24"/>
        </w:rPr>
        <w:t xml:space="preserve">2.7.1 Certidão Negativa de Débitos, ou Certidão Positiva com efeito de Negativa, expedida pela Secretaria de Estado de Fazenda; e </w:t>
      </w:r>
    </w:p>
    <w:p w14:paraId="0ECA5345">
      <w:pPr>
        <w:pStyle w:val="24"/>
        <w:spacing w:line="288" w:lineRule="auto"/>
        <w:ind w:firstLine="0"/>
        <w:contextualSpacing/>
        <w:rPr>
          <w:rFonts w:ascii="Times New Roman" w:hAnsi="Times New Roman"/>
          <w:szCs w:val="24"/>
        </w:rPr>
      </w:pPr>
    </w:p>
    <w:p w14:paraId="02E9384A">
      <w:pPr>
        <w:pStyle w:val="24"/>
        <w:spacing w:line="288" w:lineRule="auto"/>
        <w:ind w:firstLine="0"/>
        <w:contextualSpacing/>
        <w:rPr>
          <w:rFonts w:ascii="Times New Roman" w:hAnsi="Times New Roman"/>
          <w:szCs w:val="24"/>
        </w:rPr>
      </w:pPr>
      <w:r>
        <w:rPr>
          <w:rFonts w:ascii="Times New Roman" w:hAnsi="Times New Roman"/>
          <w:szCs w:val="24"/>
        </w:rPr>
        <w:t>2.7.2 Certidão Negativa de Débitos em Dívida Ativa, ou Certidão Positiva com efeito de Negativa, para fins de participação em licitação, expedida pela Procuradoria Geral do Estado.</w:t>
      </w:r>
    </w:p>
    <w:p w14:paraId="48212787">
      <w:pPr>
        <w:tabs>
          <w:tab w:val="left" w:pos="1440"/>
        </w:tabs>
        <w:autoSpaceDE w:val="0"/>
        <w:snapToGrid w:val="0"/>
        <w:spacing w:line="288" w:lineRule="auto"/>
        <w:contextualSpacing/>
        <w:jc w:val="both"/>
        <w:rPr>
          <w:sz w:val="24"/>
          <w:szCs w:val="24"/>
        </w:rPr>
      </w:pPr>
    </w:p>
    <w:p w14:paraId="3AF64C2C">
      <w:pPr>
        <w:tabs>
          <w:tab w:val="left" w:pos="1440"/>
        </w:tabs>
        <w:autoSpaceDE w:val="0"/>
        <w:snapToGrid w:val="0"/>
        <w:spacing w:line="288" w:lineRule="auto"/>
        <w:contextualSpacing/>
        <w:jc w:val="both"/>
        <w:rPr>
          <w:sz w:val="24"/>
          <w:szCs w:val="24"/>
        </w:rPr>
      </w:pPr>
      <w:r>
        <w:rPr>
          <w:sz w:val="24"/>
          <w:szCs w:val="24"/>
        </w:rPr>
        <w:t>2.8 Regularidade com a Fazenda Estadual</w:t>
      </w:r>
      <w:r>
        <w:rPr>
          <w:color w:val="FF0000"/>
          <w:sz w:val="24"/>
          <w:szCs w:val="24"/>
        </w:rPr>
        <w:t xml:space="preserve"> </w:t>
      </w:r>
      <w:r>
        <w:rPr>
          <w:sz w:val="24"/>
          <w:szCs w:val="24"/>
        </w:rPr>
        <w:t xml:space="preserve">do domicílio ou sede do fornecedor, relativa à atividade em cujo exercício contrata ou concorre, com a apresentação de Certidão Negativa de Débitos, ou Certidão Positiva com efeito de Negativa, perante o Fisco estadual, pertinente ao Imposto sobre Operações relativas à Circulação de Mercadorias e sobre Prestações de Serviços de Transporte Interestadual, Intermunicipal e de Comunicação – ICMS, bem como de Certidão perante a Dívida Ativa estadual, podendo ser apresentada Certidão Conjunta em que constem ambas as informações. </w:t>
      </w:r>
    </w:p>
    <w:p w14:paraId="15D51492">
      <w:pPr>
        <w:tabs>
          <w:tab w:val="left" w:pos="1440"/>
        </w:tabs>
        <w:autoSpaceDE w:val="0"/>
        <w:snapToGrid w:val="0"/>
        <w:spacing w:line="288" w:lineRule="auto"/>
        <w:contextualSpacing/>
        <w:jc w:val="both"/>
        <w:rPr>
          <w:sz w:val="24"/>
          <w:szCs w:val="24"/>
        </w:rPr>
      </w:pPr>
    </w:p>
    <w:p w14:paraId="2A82DDB0">
      <w:pPr>
        <w:spacing w:line="288" w:lineRule="auto"/>
        <w:contextualSpacing/>
        <w:jc w:val="both"/>
        <w:rPr>
          <w:sz w:val="24"/>
          <w:szCs w:val="24"/>
        </w:rPr>
      </w:pPr>
      <w:r>
        <w:rPr>
          <w:sz w:val="24"/>
          <w:szCs w:val="24"/>
        </w:rPr>
        <w:t xml:space="preserve">2.9 Caso o fornecedor seja considerado isento dos tributos </w:t>
      </w:r>
      <w:r>
        <w:rPr>
          <w:iCs/>
          <w:sz w:val="24"/>
          <w:szCs w:val="24"/>
        </w:rPr>
        <w:t>estaduais</w:t>
      </w:r>
      <w:r>
        <w:rPr>
          <w:color w:val="FF0000"/>
          <w:sz w:val="24"/>
          <w:szCs w:val="24"/>
        </w:rPr>
        <w:t xml:space="preserve"> </w:t>
      </w:r>
      <w:r>
        <w:rPr>
          <w:sz w:val="24"/>
          <w:szCs w:val="24"/>
        </w:rPr>
        <w:t>relacionados ao objeto contratual, deverá comprovar tal condição mediante a apresentação de declaração da Fazenda respectiva do seu domicílio ou sede, ou outra equivalente, na forma da lei.</w:t>
      </w:r>
    </w:p>
    <w:p w14:paraId="797F68B3">
      <w:pPr>
        <w:spacing w:line="288" w:lineRule="auto"/>
        <w:contextualSpacing/>
        <w:rPr>
          <w:sz w:val="24"/>
          <w:szCs w:val="24"/>
        </w:rPr>
      </w:pPr>
    </w:p>
    <w:p w14:paraId="27E08AF9">
      <w:pPr>
        <w:pStyle w:val="29"/>
        <w:spacing w:after="0" w:line="288" w:lineRule="auto"/>
        <w:ind w:left="0"/>
        <w:contextualSpacing/>
        <w:jc w:val="both"/>
        <w:rPr>
          <w:rFonts w:ascii="Times New Roman" w:hAnsi="Times New Roman" w:cs="Times New Roman"/>
          <w:sz w:val="24"/>
          <w:szCs w:val="24"/>
        </w:rPr>
      </w:pPr>
      <w:bookmarkStart w:id="39" w:name="_Hlk178775808"/>
      <w:r>
        <w:rPr>
          <w:rFonts w:ascii="Times New Roman" w:hAnsi="Times New Roman" w:cs="Times New Roman"/>
          <w:bCs/>
          <w:sz w:val="24"/>
          <w:szCs w:val="24"/>
        </w:rPr>
        <w:t>2.10</w:t>
      </w:r>
      <w:r>
        <w:rPr>
          <w:rFonts w:ascii="Times New Roman" w:hAnsi="Times New Roman" w:cs="Times New Roman"/>
          <w:b/>
          <w:sz w:val="24"/>
          <w:szCs w:val="24"/>
        </w:rPr>
        <w:t xml:space="preserve"> </w:t>
      </w:r>
      <w:r>
        <w:rPr>
          <w:rFonts w:ascii="Times New Roman" w:hAnsi="Times New Roman" w:cs="Times New Roman"/>
          <w:sz w:val="24"/>
          <w:szCs w:val="24"/>
        </w:rPr>
        <w:t>Na hipótese de cuidar-se de microempresa ou de empresa de pequeno porte, na forma do art. 42 da Lei Complementar nº 123/2006, a documentação somente será exigida para efeito de assinatura do contrato, caso se sagre vencedora no certame.</w:t>
      </w:r>
    </w:p>
    <w:p w14:paraId="6C403451">
      <w:pPr>
        <w:spacing w:line="288" w:lineRule="auto"/>
        <w:contextualSpacing/>
        <w:jc w:val="both"/>
        <w:rPr>
          <w:sz w:val="24"/>
          <w:szCs w:val="24"/>
        </w:rPr>
      </w:pPr>
    </w:p>
    <w:p w14:paraId="7623FAAA">
      <w:pPr>
        <w:spacing w:line="288" w:lineRule="auto"/>
        <w:contextualSpacing/>
        <w:jc w:val="both"/>
        <w:rPr>
          <w:sz w:val="24"/>
          <w:szCs w:val="24"/>
        </w:rPr>
      </w:pPr>
      <w:r>
        <w:rPr>
          <w:sz w:val="24"/>
          <w:szCs w:val="24"/>
        </w:rPr>
        <w:t xml:space="preserve">2.10.1 Em sendo declarada vencedora do certame microempresa ou empresa de pequeno porte com débitos fiscais e trabalhistas, ficará assegurado, a partir de então, o prazo de 5 (cinco) dias úteis para a regularização da documentação, pagamento ou parcelamento do débito, e emissão de eventuais certidões negativas ou positivas com efeito de negativas, na forma do art. 43, § 1º, da Lei Complementar nº 123/2006. </w:t>
      </w:r>
    </w:p>
    <w:bookmarkEnd w:id="39"/>
    <w:p w14:paraId="5D5433AF">
      <w:pPr>
        <w:spacing w:line="288" w:lineRule="auto"/>
        <w:contextualSpacing/>
        <w:jc w:val="both"/>
        <w:rPr>
          <w:sz w:val="24"/>
          <w:szCs w:val="24"/>
        </w:rPr>
      </w:pPr>
    </w:p>
    <w:p w14:paraId="024F9805">
      <w:pPr>
        <w:spacing w:line="288" w:lineRule="auto"/>
        <w:contextualSpacing/>
        <w:jc w:val="both"/>
        <w:rPr>
          <w:sz w:val="24"/>
          <w:szCs w:val="24"/>
        </w:rPr>
      </w:pPr>
      <w:r>
        <w:rPr>
          <w:sz w:val="24"/>
          <w:szCs w:val="24"/>
        </w:rPr>
        <w:t>2.10.2 O prazo acima poderá ser prorrogado por igual período, a critério exclusivo da Administração Pública.</w:t>
      </w:r>
    </w:p>
    <w:p w14:paraId="4287AA51">
      <w:pPr>
        <w:spacing w:line="288" w:lineRule="auto"/>
        <w:contextualSpacing/>
        <w:jc w:val="both"/>
        <w:rPr>
          <w:bCs/>
          <w:sz w:val="24"/>
          <w:szCs w:val="24"/>
        </w:rPr>
      </w:pPr>
    </w:p>
    <w:p w14:paraId="699DCF99">
      <w:pPr>
        <w:spacing w:line="288" w:lineRule="auto"/>
        <w:contextualSpacing/>
        <w:jc w:val="both"/>
        <w:rPr>
          <w:sz w:val="24"/>
          <w:szCs w:val="24"/>
        </w:rPr>
      </w:pPr>
      <w:bookmarkStart w:id="40" w:name="_Hlk178775828"/>
      <w:r>
        <w:rPr>
          <w:bCs/>
          <w:sz w:val="24"/>
          <w:szCs w:val="24"/>
        </w:rPr>
        <w:t xml:space="preserve">2.10.3 </w:t>
      </w:r>
      <w:r>
        <w:rPr>
          <w:sz w:val="24"/>
          <w:szCs w:val="24"/>
        </w:rPr>
        <w:t xml:space="preserve">A não regularização da documentação no prazo estipulado implicará a decadência do direito à contratação, na forma do § 2º do art. 43 da Lei Complementar nº 123/2006, sem prejuízo da aplicação das sanções previstas neste Edital. </w:t>
      </w:r>
    </w:p>
    <w:bookmarkEnd w:id="40"/>
    <w:p w14:paraId="6632202F">
      <w:pPr>
        <w:spacing w:before="288" w:beforeLines="120" w:after="288" w:afterLines="120" w:line="288" w:lineRule="auto"/>
        <w:contextualSpacing/>
        <w:jc w:val="center"/>
        <w:rPr>
          <w:rFonts w:eastAsia="MS Mincho"/>
          <w:b/>
          <w:color w:val="FF0000"/>
          <w:sz w:val="24"/>
          <w:szCs w:val="24"/>
        </w:rPr>
      </w:pPr>
    </w:p>
    <w:p w14:paraId="2C0991BA">
      <w:pPr>
        <w:spacing w:line="288" w:lineRule="auto"/>
        <w:jc w:val="both"/>
        <w:rPr>
          <w:sz w:val="24"/>
          <w:szCs w:val="24"/>
        </w:rPr>
      </w:pPr>
      <w:r>
        <w:rPr>
          <w:b/>
          <w:bCs/>
          <w:sz w:val="24"/>
          <w:szCs w:val="24"/>
        </w:rPr>
        <w:t xml:space="preserve">3. HABILITAÇÃO </w:t>
      </w:r>
      <w:r>
        <w:rPr>
          <w:b/>
          <w:bCs/>
          <w:color w:val="000000"/>
          <w:sz w:val="24"/>
          <w:szCs w:val="24"/>
        </w:rPr>
        <w:t xml:space="preserve">ECONÔMICO-FINANCEIRA: </w:t>
      </w:r>
    </w:p>
    <w:p w14:paraId="06286092">
      <w:pPr>
        <w:spacing w:line="288" w:lineRule="auto"/>
        <w:jc w:val="both"/>
        <w:rPr>
          <w:sz w:val="24"/>
          <w:szCs w:val="24"/>
        </w:rPr>
      </w:pPr>
    </w:p>
    <w:p w14:paraId="560D65E7">
      <w:pPr>
        <w:spacing w:line="288" w:lineRule="auto"/>
        <w:jc w:val="both"/>
        <w:rPr>
          <w:sz w:val="24"/>
          <w:szCs w:val="24"/>
        </w:rPr>
      </w:pPr>
      <w:r>
        <w:rPr>
          <w:sz w:val="24"/>
          <w:szCs w:val="24"/>
        </w:rPr>
        <w:t>3.1 Certidão negativa de falência expedida pelo distribuidor da sede do fornecedor, caso se trate de pessoa jurídica, ou certidão negativa de insolvência civil expedida pelo distribuidor do domicílio ou sede do fornecedor, caso se trate de pessoa física</w:t>
      </w:r>
      <w:r>
        <w:fldChar w:fldCharType="begin"/>
      </w:r>
      <w:r>
        <w:instrText xml:space="preserve"> HYPERLINK "https://in.gov.br/en/web/dou/-/instrucao-normativa-seges/me-n-116-de-21-de-dezembro-de-2021-370926958" \l "art5" \h </w:instrText>
      </w:r>
      <w:r>
        <w:fldChar w:fldCharType="separate"/>
      </w:r>
      <w:r>
        <w:rPr>
          <w:sz w:val="24"/>
          <w:szCs w:val="24"/>
        </w:rPr>
        <w:t xml:space="preserve"> </w:t>
      </w:r>
      <w:r>
        <w:rPr>
          <w:sz w:val="24"/>
          <w:szCs w:val="24"/>
        </w:rPr>
        <w:fldChar w:fldCharType="end"/>
      </w:r>
      <w:r>
        <w:rPr>
          <w:sz w:val="24"/>
          <w:szCs w:val="24"/>
        </w:rPr>
        <w:t xml:space="preserve"> ou de sociedade simples.</w:t>
      </w:r>
    </w:p>
    <w:p w14:paraId="5B0B36D8">
      <w:pPr>
        <w:spacing w:line="288" w:lineRule="auto"/>
        <w:jc w:val="both"/>
        <w:rPr>
          <w:sz w:val="24"/>
          <w:szCs w:val="24"/>
        </w:rPr>
      </w:pPr>
    </w:p>
    <w:p w14:paraId="5843D3D5">
      <w:pPr>
        <w:spacing w:line="288" w:lineRule="auto"/>
        <w:jc w:val="both"/>
        <w:rPr>
          <w:sz w:val="24"/>
          <w:szCs w:val="24"/>
        </w:rPr>
      </w:pPr>
      <w:bookmarkStart w:id="41" w:name="_Hlk154232471"/>
      <w:r>
        <w:rPr>
          <w:sz w:val="24"/>
          <w:szCs w:val="24"/>
        </w:rPr>
        <w:t>3.1.1 Não será causa de inabilitação do licitante a anotação de distribuição de processo de recuperação judicial ou de pedido de homologação de recuperação extrajudicial.</w:t>
      </w:r>
    </w:p>
    <w:bookmarkEnd w:id="41"/>
    <w:p w14:paraId="712D7D82">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p w14:paraId="7934CC73">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 Balanço patrimonial, demonstração de resultado de exercício e demais demonstrações contábeis dos 2 (dois) últimos exercícios sociais, vedada a sua substituição por balancetes ou balanços provisórios.</w:t>
      </w:r>
    </w:p>
    <w:p w14:paraId="79944B17">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p w14:paraId="4911A02D">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3.2.1 Os documentos referidos acima limitar-se-ão ao último exercício social no caso de a pessoa jurídica ter sido constituída há menos de 2 (dois) anos.</w:t>
      </w:r>
    </w:p>
    <w:p w14:paraId="443AAAB3">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p w14:paraId="19B37264">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3.2.2 Os fornecedores criados no exercício financeiro da contratação deverão atender a todas as exigências da habilitação e ficam autorizados a substituir os demonstrativos contábeis pelo balanço de abertura;</w:t>
      </w:r>
    </w:p>
    <w:p w14:paraId="1438263F">
      <w:pPr>
        <w:spacing w:line="288" w:lineRule="auto"/>
        <w:ind w:right="565"/>
        <w:jc w:val="both"/>
        <w:rPr>
          <w:color w:val="000000" w:themeColor="text1"/>
          <w:sz w:val="24"/>
          <w:szCs w:val="24"/>
          <w14:textFill>
            <w14:solidFill>
              <w14:schemeClr w14:val="tx1"/>
            </w14:solidFill>
          </w14:textFill>
        </w:rPr>
      </w:pPr>
    </w:p>
    <w:p w14:paraId="491FF00A">
      <w:pPr>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3.2.2.1</w:t>
      </w:r>
      <w:r>
        <w:rPr>
          <w:rFonts w:eastAsia="Arial"/>
          <w:color w:val="000000" w:themeColor="text1"/>
          <w:sz w:val="24"/>
          <w:szCs w:val="24"/>
          <w14:textFill>
            <w14:solidFill>
              <w14:schemeClr w14:val="tx1"/>
            </w14:solidFill>
          </w14:textFill>
        </w:rPr>
        <w:t xml:space="preserve"> Poderá ser apresentado o balanço intermediário, caso autorizado por lei ou pelo contrato/estatuto social.</w:t>
      </w:r>
    </w:p>
    <w:p w14:paraId="69488F77">
      <w:pPr>
        <w:spacing w:line="288" w:lineRule="auto"/>
        <w:ind w:right="565"/>
        <w:jc w:val="both"/>
        <w:rPr>
          <w:color w:val="000000" w:themeColor="text1"/>
          <w:sz w:val="24"/>
          <w:szCs w:val="24"/>
          <w14:textFill>
            <w14:solidFill>
              <w14:schemeClr w14:val="tx1"/>
            </w14:solidFill>
          </w14:textFill>
        </w:rPr>
      </w:pPr>
    </w:p>
    <w:p w14:paraId="1FB4AE49">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3.2.3 Para fins de habilitação econômico-financeira de sociedade empresária em recuperação judicial deverão ser considerados os valores constantes no Plano de Recuperação Judicial, homologado pelo Juízo competente, para fins de apuração dos índices contábeis previstos no edital.</w:t>
      </w:r>
    </w:p>
    <w:p w14:paraId="718EE921">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p w14:paraId="12928330">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3.3 Comprovação da boa situação financeira da empresa mediante obtenção de índices de Liquidez Geral (LG), Solvência Geral (SG) e Liquidez Corrente (LC), iguais ou superiores a 1 (um), obtidos pela aplicação das seguintes fórmulas: </w:t>
      </w:r>
    </w:p>
    <w:p w14:paraId="19BF8701">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tbl>
      <w:tblPr>
        <w:tblStyle w:val="9"/>
        <w:tblW w:w="0" w:type="auto"/>
        <w:tblInd w:w="1134" w:type="dxa"/>
        <w:tblLayout w:type="autofit"/>
        <w:tblCellMar>
          <w:top w:w="0" w:type="dxa"/>
          <w:left w:w="108" w:type="dxa"/>
          <w:bottom w:w="0" w:type="dxa"/>
          <w:right w:w="108" w:type="dxa"/>
        </w:tblCellMar>
      </w:tblPr>
      <w:tblGrid>
        <w:gridCol w:w="2235"/>
        <w:gridCol w:w="4252"/>
      </w:tblGrid>
      <w:tr w14:paraId="71B5D52D">
        <w:tblPrEx>
          <w:tblCellMar>
            <w:top w:w="0" w:type="dxa"/>
            <w:left w:w="108" w:type="dxa"/>
            <w:bottom w:w="0" w:type="dxa"/>
            <w:right w:w="108" w:type="dxa"/>
          </w:tblCellMar>
        </w:tblPrEx>
        <w:tc>
          <w:tcPr>
            <w:tcW w:w="2235" w:type="dxa"/>
            <w:vMerge w:val="restart"/>
            <w:shd w:val="clear" w:color="auto" w:fill="auto"/>
            <w:vAlign w:val="center"/>
          </w:tcPr>
          <w:p w14:paraId="63AAFE8A">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LG =</w:t>
            </w:r>
          </w:p>
        </w:tc>
        <w:tc>
          <w:tcPr>
            <w:tcW w:w="4252" w:type="dxa"/>
            <w:tcBorders>
              <w:bottom w:val="single" w:color="auto" w:sz="4" w:space="0"/>
            </w:tcBorders>
            <w:shd w:val="clear" w:color="auto" w:fill="auto"/>
            <w:vAlign w:val="bottom"/>
          </w:tcPr>
          <w:p w14:paraId="31F3D16B">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Ativo Circulante + Realizável a Longo Prazo</w:t>
            </w:r>
          </w:p>
        </w:tc>
      </w:tr>
      <w:tr w14:paraId="44C838D4">
        <w:tblPrEx>
          <w:tblCellMar>
            <w:top w:w="0" w:type="dxa"/>
            <w:left w:w="108" w:type="dxa"/>
            <w:bottom w:w="0" w:type="dxa"/>
            <w:right w:w="108" w:type="dxa"/>
          </w:tblCellMar>
        </w:tblPrEx>
        <w:tc>
          <w:tcPr>
            <w:tcW w:w="2235" w:type="dxa"/>
            <w:vMerge w:val="continue"/>
            <w:shd w:val="clear" w:color="auto" w:fill="auto"/>
          </w:tcPr>
          <w:p w14:paraId="67C02159">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p>
        </w:tc>
        <w:tc>
          <w:tcPr>
            <w:tcW w:w="4252" w:type="dxa"/>
            <w:tcBorders>
              <w:top w:val="single" w:color="auto" w:sz="4" w:space="0"/>
            </w:tcBorders>
            <w:shd w:val="clear" w:color="auto" w:fill="auto"/>
          </w:tcPr>
          <w:p w14:paraId="50CC32DD">
            <w:pPr>
              <w:tabs>
                <w:tab w:val="left" w:pos="1440"/>
              </w:tabs>
              <w:autoSpaceDE w:val="0"/>
              <w:snapToGrid w:val="0"/>
              <w:spacing w:before="100" w:beforeAutospacing="1" w:after="100" w:afterAutospacing="1"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Passivo Circulante + Passivo Não Circulante</w:t>
            </w:r>
          </w:p>
        </w:tc>
      </w:tr>
    </w:tbl>
    <w:p w14:paraId="5038F01C">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tbl>
      <w:tblPr>
        <w:tblStyle w:val="9"/>
        <w:tblW w:w="0" w:type="auto"/>
        <w:tblInd w:w="1134" w:type="dxa"/>
        <w:tblLayout w:type="autofit"/>
        <w:tblCellMar>
          <w:top w:w="0" w:type="dxa"/>
          <w:left w:w="108" w:type="dxa"/>
          <w:bottom w:w="0" w:type="dxa"/>
          <w:right w:w="108" w:type="dxa"/>
        </w:tblCellMar>
      </w:tblPr>
      <w:tblGrid>
        <w:gridCol w:w="2235"/>
        <w:gridCol w:w="4394"/>
      </w:tblGrid>
      <w:tr w14:paraId="79D1F3A0">
        <w:tblPrEx>
          <w:tblCellMar>
            <w:top w:w="0" w:type="dxa"/>
            <w:left w:w="108" w:type="dxa"/>
            <w:bottom w:w="0" w:type="dxa"/>
            <w:right w:w="108" w:type="dxa"/>
          </w:tblCellMar>
        </w:tblPrEx>
        <w:trPr>
          <w:cantSplit/>
        </w:trPr>
        <w:tc>
          <w:tcPr>
            <w:tcW w:w="2235" w:type="dxa"/>
            <w:vMerge w:val="restart"/>
            <w:shd w:val="clear" w:color="auto" w:fill="auto"/>
            <w:vAlign w:val="center"/>
          </w:tcPr>
          <w:p w14:paraId="33604CDF">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SG =</w:t>
            </w:r>
          </w:p>
        </w:tc>
        <w:tc>
          <w:tcPr>
            <w:tcW w:w="4394" w:type="dxa"/>
            <w:tcBorders>
              <w:bottom w:val="single" w:color="auto" w:sz="4" w:space="0"/>
            </w:tcBorders>
            <w:shd w:val="clear" w:color="auto" w:fill="auto"/>
            <w:vAlign w:val="bottom"/>
          </w:tcPr>
          <w:p w14:paraId="1071D3AB">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Ativo Total</w:t>
            </w:r>
          </w:p>
        </w:tc>
      </w:tr>
      <w:tr w14:paraId="4873659A">
        <w:tblPrEx>
          <w:tblCellMar>
            <w:top w:w="0" w:type="dxa"/>
            <w:left w:w="108" w:type="dxa"/>
            <w:bottom w:w="0" w:type="dxa"/>
            <w:right w:w="108" w:type="dxa"/>
          </w:tblCellMar>
        </w:tblPrEx>
        <w:trPr>
          <w:cantSplit/>
        </w:trPr>
        <w:tc>
          <w:tcPr>
            <w:tcW w:w="2235" w:type="dxa"/>
            <w:vMerge w:val="continue"/>
            <w:shd w:val="clear" w:color="auto" w:fill="auto"/>
          </w:tcPr>
          <w:p w14:paraId="067C3D49">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p>
        </w:tc>
        <w:tc>
          <w:tcPr>
            <w:tcW w:w="4394" w:type="dxa"/>
            <w:tcBorders>
              <w:top w:val="single" w:color="auto" w:sz="4" w:space="0"/>
            </w:tcBorders>
            <w:shd w:val="clear" w:color="auto" w:fill="auto"/>
          </w:tcPr>
          <w:p w14:paraId="6747CC3E">
            <w:pPr>
              <w:tabs>
                <w:tab w:val="left" w:pos="1440"/>
              </w:tabs>
              <w:autoSpaceDE w:val="0"/>
              <w:snapToGrid w:val="0"/>
              <w:spacing w:before="100" w:beforeAutospacing="1" w:after="100" w:afterAutospacing="1"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Passivo Circulante + Passivo Não Circulante</w:t>
            </w:r>
          </w:p>
        </w:tc>
      </w:tr>
    </w:tbl>
    <w:p w14:paraId="0E0DA12F">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tbl>
      <w:tblPr>
        <w:tblStyle w:val="9"/>
        <w:tblW w:w="0" w:type="auto"/>
        <w:tblInd w:w="1134" w:type="dxa"/>
        <w:tblLayout w:type="autofit"/>
        <w:tblCellMar>
          <w:top w:w="0" w:type="dxa"/>
          <w:left w:w="108" w:type="dxa"/>
          <w:bottom w:w="0" w:type="dxa"/>
          <w:right w:w="108" w:type="dxa"/>
        </w:tblCellMar>
      </w:tblPr>
      <w:tblGrid>
        <w:gridCol w:w="2235"/>
        <w:gridCol w:w="2551"/>
      </w:tblGrid>
      <w:tr w14:paraId="75B36403">
        <w:tblPrEx>
          <w:tblCellMar>
            <w:top w:w="0" w:type="dxa"/>
            <w:left w:w="108" w:type="dxa"/>
            <w:bottom w:w="0" w:type="dxa"/>
            <w:right w:w="108" w:type="dxa"/>
          </w:tblCellMar>
        </w:tblPrEx>
        <w:tc>
          <w:tcPr>
            <w:tcW w:w="2235" w:type="dxa"/>
            <w:vMerge w:val="restart"/>
            <w:shd w:val="clear" w:color="auto" w:fill="auto"/>
            <w:vAlign w:val="center"/>
          </w:tcPr>
          <w:p w14:paraId="3BED528E">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LC =</w:t>
            </w:r>
          </w:p>
        </w:tc>
        <w:tc>
          <w:tcPr>
            <w:tcW w:w="2551" w:type="dxa"/>
            <w:tcBorders>
              <w:bottom w:val="single" w:color="auto" w:sz="4" w:space="0"/>
            </w:tcBorders>
            <w:shd w:val="clear" w:color="auto" w:fill="auto"/>
            <w:vAlign w:val="bottom"/>
          </w:tcPr>
          <w:p w14:paraId="1A84DA32">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Ativo Circulante</w:t>
            </w:r>
          </w:p>
        </w:tc>
      </w:tr>
      <w:tr w14:paraId="2932BEC4">
        <w:tblPrEx>
          <w:tblCellMar>
            <w:top w:w="0" w:type="dxa"/>
            <w:left w:w="108" w:type="dxa"/>
            <w:bottom w:w="0" w:type="dxa"/>
            <w:right w:w="108" w:type="dxa"/>
          </w:tblCellMar>
        </w:tblPrEx>
        <w:tc>
          <w:tcPr>
            <w:tcW w:w="2235" w:type="dxa"/>
            <w:vMerge w:val="continue"/>
            <w:shd w:val="clear" w:color="auto" w:fill="auto"/>
          </w:tcPr>
          <w:p w14:paraId="7E10BB9A">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p>
        </w:tc>
        <w:tc>
          <w:tcPr>
            <w:tcW w:w="2551" w:type="dxa"/>
            <w:tcBorders>
              <w:top w:val="single" w:color="auto" w:sz="4" w:space="0"/>
            </w:tcBorders>
            <w:shd w:val="clear" w:color="auto" w:fill="auto"/>
          </w:tcPr>
          <w:p w14:paraId="62F9EE2A">
            <w:pPr>
              <w:tabs>
                <w:tab w:val="left" w:pos="1440"/>
              </w:tabs>
              <w:autoSpaceDE w:val="0"/>
              <w:snapToGrid w:val="0"/>
              <w:spacing w:before="100" w:beforeAutospacing="1" w:after="100" w:afterAutospacing="1"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Passivo Circulante</w:t>
            </w:r>
          </w:p>
        </w:tc>
      </w:tr>
    </w:tbl>
    <w:p w14:paraId="1ACD2233">
      <w:pPr>
        <w:pStyle w:val="104"/>
        <w:spacing w:before="0" w:beforeAutospacing="0" w:after="0" w:afterAutospacing="0" w:line="288" w:lineRule="auto"/>
        <w:ind w:right="565"/>
        <w:jc w:val="both"/>
        <w:rPr>
          <w:color w:val="000000" w:themeColor="text1"/>
          <w14:textFill>
            <w14:solidFill>
              <w14:schemeClr w14:val="tx1"/>
            </w14:solidFill>
          </w14:textFill>
        </w:rPr>
      </w:pPr>
    </w:p>
    <w:p w14:paraId="4AA5AC75">
      <w:pPr>
        <w:pStyle w:val="104"/>
        <w:spacing w:before="0" w:beforeAutospacing="0" w:after="0" w:afterAutospacing="0" w:line="288" w:lineRule="auto"/>
        <w:ind w:right="565"/>
        <w:jc w:val="both"/>
        <w:rPr>
          <w:color w:val="000000" w:themeColor="text1"/>
          <w14:textFill>
            <w14:solidFill>
              <w14:schemeClr w14:val="tx1"/>
            </w14:solidFill>
          </w14:textFill>
        </w:rPr>
      </w:pPr>
      <w:r>
        <w:rPr>
          <w:color w:val="000000" w:themeColor="text1"/>
          <w14:textFill>
            <w14:solidFill>
              <w14:schemeClr w14:val="tx1"/>
            </w14:solidFill>
          </w14:textFill>
        </w:rPr>
        <w:t>3.3.1 Caso seja apresentado resultado inferior ou igual a 1(um) em qualquer dos índices de Liquidez Geral (LG), Solvência Geral (SG) e Liquidez Corrente (LC), deverá ser comprovado capital ou patrimônio líquido mínimo de ... (....) do valor total estimado da contratação ou do item pertinente.</w:t>
      </w:r>
    </w:p>
    <w:p w14:paraId="50D5EB9B">
      <w:pPr>
        <w:pStyle w:val="104"/>
        <w:spacing w:before="0" w:beforeAutospacing="0" w:after="0" w:afterAutospacing="0" w:line="288" w:lineRule="auto"/>
        <w:ind w:right="565"/>
        <w:jc w:val="both"/>
        <w:rPr>
          <w:color w:val="000000" w:themeColor="text1"/>
          <w14:textFill>
            <w14:solidFill>
              <w14:schemeClr w14:val="tx1"/>
            </w14:solidFill>
          </w14:textFill>
        </w:rPr>
      </w:pPr>
    </w:p>
    <w:p w14:paraId="39BC70C0">
      <w:pPr>
        <w:pStyle w:val="104"/>
        <w:spacing w:before="0" w:beforeAutospacing="0" w:after="0" w:afterAutospacing="0" w:line="288" w:lineRule="auto"/>
        <w:ind w:right="565"/>
        <w:jc w:val="both"/>
        <w:rPr>
          <w:rStyle w:val="110"/>
          <w:rFonts w:ascii="Times New Roman" w:hAnsi="Times New Roman" w:cs="Times New Roman"/>
          <w:b/>
          <w:bCs/>
          <w:i w:val="0"/>
          <w:iCs w:val="0"/>
          <w:color w:val="000000" w:themeColor="text1"/>
          <w:sz w:val="24"/>
          <w:szCs w:val="24"/>
          <w14:textFill>
            <w14:solidFill>
              <w14:schemeClr w14:val="tx1"/>
            </w14:solidFill>
          </w14:textFill>
        </w:rPr>
      </w:pPr>
      <w:r>
        <w:rPr>
          <w:rStyle w:val="102"/>
          <w:rFonts w:ascii="Times New Roman" w:hAnsi="Times New Roman" w:cs="Times New Roman"/>
          <w:b/>
          <w:bCs/>
          <w:color w:val="000000" w:themeColor="text1"/>
          <w:sz w:val="24"/>
          <w:szCs w:val="24"/>
          <w14:textFill>
            <w14:solidFill>
              <w14:schemeClr w14:val="tx1"/>
            </w14:solidFill>
          </w14:textFill>
        </w:rPr>
        <w:t>NOTA EXPLICATIVA:</w:t>
      </w:r>
      <w:r>
        <w:rPr>
          <w:rStyle w:val="110"/>
          <w:rFonts w:ascii="Times New Roman" w:hAnsi="Times New Roman" w:cs="Times New Roman"/>
          <w:b/>
          <w:bCs/>
          <w:i w:val="0"/>
          <w:iCs w:val="0"/>
          <w:color w:val="000000" w:themeColor="text1"/>
          <w:sz w:val="24"/>
          <w:szCs w:val="24"/>
          <w14:textFill>
            <w14:solidFill>
              <w14:schemeClr w14:val="tx1"/>
            </w14:solidFill>
          </w14:textFill>
        </w:rPr>
        <w:t xml:space="preserve"> </w:t>
      </w:r>
    </w:p>
    <w:p w14:paraId="0D3E4E9E">
      <w:pPr>
        <w:pStyle w:val="104"/>
        <w:spacing w:before="0" w:beforeAutospacing="0" w:after="0" w:afterAutospacing="0" w:line="288" w:lineRule="auto"/>
        <w:ind w:right="565"/>
        <w:jc w:val="both"/>
        <w:rPr>
          <w:rStyle w:val="110"/>
          <w:rFonts w:ascii="Times New Roman" w:hAnsi="Times New Roman" w:cs="Times New Roman"/>
          <w:i w:val="0"/>
          <w:iCs w:val="0"/>
          <w:color w:val="000000" w:themeColor="text1"/>
          <w:sz w:val="24"/>
          <w:szCs w:val="24"/>
          <w14:textFill>
            <w14:solidFill>
              <w14:schemeClr w14:val="tx1"/>
            </w14:solidFill>
          </w14:textFill>
        </w:rPr>
      </w:pPr>
      <w:r>
        <w:rPr>
          <w:rStyle w:val="110"/>
          <w:rFonts w:ascii="Times New Roman" w:hAnsi="Times New Roman" w:cs="Times New Roman"/>
          <w:i w:val="0"/>
          <w:iCs w:val="0"/>
          <w:color w:val="000000" w:themeColor="text1"/>
          <w:sz w:val="24"/>
          <w:szCs w:val="24"/>
          <w14:textFill>
            <w14:solidFill>
              <w14:schemeClr w14:val="tx1"/>
            </w14:solidFill>
          </w14:textFill>
        </w:rPr>
        <w:t xml:space="preserve">A fixação do percentual referente ao patrimônio líquido se insere na esfera de atuação discricionária da Administração, podendo ser exigido até 10% (dez por cento) do valor estimado da contratação (art. 69, § 4º, da Lei nº 14.133/2021), exceto na hipótese de orçamento sigiloso, para evitar que o parâmetro do preço estimado seja revelado por outros meios. </w:t>
      </w:r>
    </w:p>
    <w:p w14:paraId="2A5AC736">
      <w:pPr>
        <w:pStyle w:val="104"/>
        <w:spacing w:before="0" w:beforeAutospacing="0" w:after="0" w:afterAutospacing="0" w:line="288" w:lineRule="auto"/>
        <w:ind w:right="565"/>
        <w:jc w:val="both"/>
        <w:rPr>
          <w:rStyle w:val="110"/>
          <w:rFonts w:ascii="Times New Roman" w:hAnsi="Times New Roman" w:cs="Times New Roman"/>
          <w:i w:val="0"/>
          <w:iCs w:val="0"/>
          <w:color w:val="000000" w:themeColor="text1"/>
          <w:sz w:val="24"/>
          <w:szCs w:val="24"/>
          <w14:textFill>
            <w14:solidFill>
              <w14:schemeClr w14:val="tx1"/>
            </w14:solidFill>
          </w14:textFill>
        </w:rPr>
      </w:pPr>
    </w:p>
    <w:p w14:paraId="779924DA">
      <w:pPr>
        <w:pStyle w:val="104"/>
        <w:spacing w:before="0" w:beforeAutospacing="0" w:after="0" w:afterAutospacing="0" w:line="288" w:lineRule="auto"/>
        <w:ind w:right="565"/>
        <w:contextualSpacing/>
        <w:jc w:val="both"/>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3.3.2 O atendimento dos índices econômicos previstos neste item deverá ser atestado mediante declaração assinada por profissional habilitado da área contábil, apresentada pelo fornecedor.</w:t>
      </w:r>
    </w:p>
    <w:p w14:paraId="4927AEEA">
      <w:pPr>
        <w:pStyle w:val="104"/>
        <w:spacing w:before="0" w:beforeAutospacing="0" w:after="0" w:afterAutospacing="0" w:line="288" w:lineRule="auto"/>
        <w:ind w:left="567" w:right="565"/>
        <w:jc w:val="both"/>
        <w:rPr>
          <w:lang w:eastAsia="en-US"/>
        </w:rPr>
      </w:pPr>
    </w:p>
    <w:p w14:paraId="126E1A42">
      <w:pPr>
        <w:pStyle w:val="104"/>
        <w:spacing w:before="0" w:beforeAutospacing="0" w:after="0" w:afterAutospacing="0" w:line="288" w:lineRule="auto"/>
        <w:contextualSpacing/>
        <w:jc w:val="both"/>
        <w:rPr>
          <w:iCs/>
          <w:color w:val="FF0000"/>
        </w:rPr>
      </w:pPr>
    </w:p>
    <w:p w14:paraId="24F201E3">
      <w:pPr>
        <w:pStyle w:val="104"/>
        <w:spacing w:before="0" w:beforeAutospacing="0" w:after="0" w:afterAutospacing="0" w:line="288" w:lineRule="auto"/>
        <w:contextualSpacing/>
        <w:jc w:val="both"/>
        <w:rPr>
          <w:b/>
          <w:bCs/>
        </w:rPr>
      </w:pPr>
      <w:r>
        <w:rPr>
          <w:b/>
          <w:bCs/>
        </w:rPr>
        <w:t>4. HABILITAÇÃO TÉCNICA</w:t>
      </w:r>
    </w:p>
    <w:p w14:paraId="733F25DF">
      <w:pPr>
        <w:pStyle w:val="104"/>
        <w:spacing w:before="0" w:beforeAutospacing="0" w:after="0" w:afterAutospacing="0" w:line="288" w:lineRule="auto"/>
        <w:contextualSpacing/>
        <w:jc w:val="both"/>
        <w:rPr>
          <w:b/>
          <w:bCs/>
        </w:rPr>
      </w:pPr>
    </w:p>
    <w:p w14:paraId="589CD5FE">
      <w:pPr>
        <w:pStyle w:val="111"/>
        <w:keepNext w:val="0"/>
        <w:widowControl/>
        <w:spacing w:before="0" w:after="0" w:line="288" w:lineRule="auto"/>
        <w:ind w:firstLine="0"/>
        <w:contextualSpacing/>
        <w:rPr>
          <w:rFonts w:ascii="Times New Roman" w:hAnsi="Times New Roman" w:cs="Times New Roman"/>
          <w:color w:val="000000" w:themeColor="text1"/>
          <w:sz w:val="24"/>
          <w14:textFill>
            <w14:solidFill>
              <w14:schemeClr w14:val="tx1"/>
            </w14:solidFill>
          </w14:textFill>
        </w:rPr>
      </w:pPr>
      <w:bookmarkStart w:id="42" w:name="_Hlk154233180"/>
      <w:r>
        <w:rPr>
          <w:rFonts w:ascii="Times New Roman" w:hAnsi="Times New Roman" w:cs="Times New Roman"/>
          <w:color w:val="000000" w:themeColor="text1"/>
          <w:sz w:val="24"/>
          <w14:textFill>
            <w14:solidFill>
              <w14:schemeClr w14:val="tx1"/>
            </w14:solidFill>
          </w14:textFill>
        </w:rPr>
        <w:t xml:space="preserve">4.1 </w:t>
      </w:r>
      <w:bookmarkEnd w:id="42"/>
      <w:r>
        <w:rPr>
          <w:rFonts w:ascii="Times New Roman" w:hAnsi="Times New Roman" w:cs="Times New Roman"/>
          <w:color w:val="000000" w:themeColor="text1"/>
          <w:sz w:val="24"/>
          <w14:textFill>
            <w14:solidFill>
              <w14:schemeClr w14:val="tx1"/>
            </w14:solidFill>
          </w14:textFill>
        </w:rPr>
        <w:t>Comprovação de aptidão para o fornecimento de bens, de acordo com as características, quantidades e prazos compatíveis com o objeto, mediante a apresentação de atestado(s) fornecido(s) por pessoas jurídicas de direito público ou privado, na seguinte forma:</w:t>
      </w:r>
    </w:p>
    <w:p w14:paraId="13CA6664">
      <w:pPr>
        <w:spacing w:line="288" w:lineRule="auto"/>
        <w:ind w:right="565"/>
        <w:contextualSpacing/>
        <w:jc w:val="both"/>
        <w:rPr>
          <w:color w:val="000000" w:themeColor="text1"/>
          <w:sz w:val="24"/>
          <w:szCs w:val="24"/>
          <w14:textFill>
            <w14:solidFill>
              <w14:schemeClr w14:val="tx1"/>
            </w14:solidFill>
          </w14:textFill>
        </w:rPr>
      </w:pPr>
    </w:p>
    <w:p w14:paraId="56C6BA22">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4.2._ Os atestados deverão referir-se a fornecimento no âmbito de sua atividade econômica principal ou secundária especificadas no contrato social vigente.</w:t>
      </w:r>
    </w:p>
    <w:p w14:paraId="20DF7FD9">
      <w:pPr>
        <w:spacing w:line="288" w:lineRule="auto"/>
        <w:ind w:right="565"/>
        <w:contextualSpacing/>
        <w:jc w:val="both"/>
        <w:rPr>
          <w:color w:val="000000" w:themeColor="text1"/>
          <w:sz w:val="24"/>
          <w:szCs w:val="24"/>
          <w14:textFill>
            <w14:solidFill>
              <w14:schemeClr w14:val="tx1"/>
            </w14:solidFill>
          </w14:textFill>
        </w:rPr>
      </w:pPr>
    </w:p>
    <w:p w14:paraId="393864F9">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4.3._ Poderá ser admitida, para fins de comprovação de quantitativo mínimo do fornecimento, a apresentação de diferentes atestados de objetos executados de forma concomitante, resultando na comprovação de capacidade técnico-operacional de uma única contratação.</w:t>
      </w:r>
    </w:p>
    <w:p w14:paraId="438686B0">
      <w:pPr>
        <w:spacing w:line="288" w:lineRule="auto"/>
        <w:ind w:right="565"/>
        <w:contextualSpacing/>
        <w:jc w:val="both"/>
        <w:rPr>
          <w:color w:val="000000" w:themeColor="text1"/>
          <w:sz w:val="24"/>
          <w:szCs w:val="24"/>
          <w14:textFill>
            <w14:solidFill>
              <w14:schemeClr w14:val="tx1"/>
            </w14:solidFill>
          </w14:textFill>
        </w:rPr>
      </w:pPr>
    </w:p>
    <w:p w14:paraId="1AE9ECCD">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4.4._ Em caso de dúvida fundada suscitada pelo pregoeiro, a Administração poderá solicitar ao licitante, em diligência complementar, todas as informações necessárias à comprovação da legitimidade dos atestados, dentre outros documentos, cópia do contrato que deu suporte à contratação, endereço atual da contratante e local em que foram executados os objetos.</w:t>
      </w:r>
    </w:p>
    <w:p w14:paraId="7F5C912A">
      <w:pPr>
        <w:rPr>
          <w:b/>
          <w:color w:val="000000"/>
          <w:sz w:val="24"/>
          <w:szCs w:val="24"/>
        </w:rPr>
      </w:pPr>
    </w:p>
    <w:p w14:paraId="384488B1">
      <w:pPr>
        <w:spacing w:before="288" w:beforeLines="120" w:after="288" w:afterLines="120" w:line="288" w:lineRule="auto"/>
        <w:contextualSpacing/>
        <w:rPr>
          <w:rFonts w:eastAsia="MS Mincho"/>
          <w:b/>
          <w:sz w:val="24"/>
          <w:szCs w:val="24"/>
        </w:rPr>
      </w:pPr>
    </w:p>
    <w:p w14:paraId="4F74552A">
      <w:pPr>
        <w:spacing w:line="288" w:lineRule="auto"/>
        <w:contextualSpacing/>
        <w:jc w:val="center"/>
        <w:rPr>
          <w:b/>
          <w:bCs/>
          <w:sz w:val="24"/>
          <w:szCs w:val="24"/>
        </w:rPr>
      </w:pPr>
      <w:r>
        <w:rPr>
          <w:b/>
          <w:bCs/>
          <w:sz w:val="24"/>
          <w:szCs w:val="24"/>
        </w:rPr>
        <w:t>ANEXO V</w:t>
      </w:r>
    </w:p>
    <w:p w14:paraId="78DAB502">
      <w:pPr>
        <w:spacing w:line="368" w:lineRule="auto"/>
        <w:ind w:right="-446" w:hanging="284"/>
        <w:rPr>
          <w:b/>
          <w:sz w:val="24"/>
          <w:szCs w:val="24"/>
          <w:u w:val="single"/>
        </w:rPr>
      </w:pPr>
      <w:r>
        <w:rPr>
          <w:b/>
          <w:sz w:val="24"/>
          <w:szCs w:val="24"/>
        </w:rPr>
        <w:t xml:space="preserve">                                                          </w:t>
      </w:r>
      <w:r>
        <w:rPr>
          <w:b/>
          <w:sz w:val="24"/>
          <w:szCs w:val="24"/>
          <w:highlight w:val="yellow"/>
          <w:u w:val="single"/>
        </w:rPr>
        <w:t>PLANILHA DE CUSTO</w:t>
      </w:r>
    </w:p>
    <w:p w14:paraId="161BB41B">
      <w:pPr>
        <w:spacing w:line="368" w:lineRule="auto"/>
        <w:ind w:right="-446" w:hanging="284"/>
        <w:rPr>
          <w:b/>
          <w:sz w:val="24"/>
          <w:szCs w:val="24"/>
          <w:u w:val="single"/>
        </w:rPr>
      </w:pPr>
      <w:r>
        <w:rPr>
          <w:b/>
          <w:sz w:val="24"/>
          <w:szCs w:val="24"/>
          <w:u w:val="single"/>
        </w:rPr>
        <w:drawing>
          <wp:anchor distT="0" distB="0" distL="114300" distR="114300" simplePos="0" relativeHeight="251659264" behindDoc="0" locked="0" layoutInCell="1" allowOverlap="1">
            <wp:simplePos x="0" y="0"/>
            <wp:positionH relativeFrom="column">
              <wp:posOffset>-610235</wp:posOffset>
            </wp:positionH>
            <wp:positionV relativeFrom="paragraph">
              <wp:posOffset>271145</wp:posOffset>
            </wp:positionV>
            <wp:extent cx="6851015" cy="3524250"/>
            <wp:effectExtent l="0" t="0" r="6985" b="0"/>
            <wp:wrapSquare wrapText="bothSides"/>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6851015" cy="3524250"/>
                    </a:xfrm>
                    <a:prstGeom prst="rect">
                      <a:avLst/>
                    </a:prstGeom>
                  </pic:spPr>
                </pic:pic>
              </a:graphicData>
            </a:graphic>
          </wp:anchor>
        </w:drawing>
      </w:r>
    </w:p>
    <w:p w14:paraId="2FFED4C0">
      <w:pPr>
        <w:spacing w:line="368" w:lineRule="auto"/>
        <w:ind w:right="-446" w:hanging="284"/>
        <w:rPr>
          <w:b/>
          <w:sz w:val="24"/>
          <w:szCs w:val="24"/>
          <w:u w:val="single"/>
        </w:rPr>
      </w:pPr>
    </w:p>
    <w:p w14:paraId="0605E816">
      <w:pPr>
        <w:spacing w:line="368" w:lineRule="auto"/>
        <w:ind w:right="-446" w:hanging="284"/>
        <w:rPr>
          <w:b/>
          <w:sz w:val="24"/>
          <w:szCs w:val="24"/>
          <w:u w:val="single"/>
        </w:rPr>
      </w:pPr>
    </w:p>
    <w:p w14:paraId="055F2EE8">
      <w:pPr>
        <w:contextualSpacing/>
        <w:jc w:val="center"/>
        <w:rPr>
          <w:b/>
          <w:sz w:val="24"/>
          <w:szCs w:val="24"/>
        </w:rPr>
      </w:pPr>
    </w:p>
    <w:p w14:paraId="23B69AC0">
      <w:pPr>
        <w:contextualSpacing/>
        <w:rPr>
          <w:b/>
          <w:sz w:val="24"/>
          <w:szCs w:val="24"/>
        </w:rPr>
      </w:pPr>
    </w:p>
    <w:p w14:paraId="58AEB47B">
      <w:pPr>
        <w:contextualSpacing/>
        <w:jc w:val="center"/>
        <w:rPr>
          <w:b/>
          <w:sz w:val="24"/>
          <w:szCs w:val="24"/>
        </w:rPr>
      </w:pPr>
      <w:r>
        <w:rPr>
          <w:b/>
          <w:sz w:val="24"/>
          <w:szCs w:val="24"/>
          <w:highlight w:val="yellow"/>
        </w:rPr>
        <w:t>ANEXO VI</w:t>
      </w:r>
    </w:p>
    <w:p w14:paraId="47C6E4B9">
      <w:pPr>
        <w:contextualSpacing/>
        <w:jc w:val="center"/>
        <w:rPr>
          <w:b/>
          <w:sz w:val="24"/>
          <w:szCs w:val="24"/>
        </w:rPr>
      </w:pPr>
      <w:r>
        <w:rPr>
          <w:b/>
          <w:sz w:val="24"/>
          <w:szCs w:val="24"/>
        </w:rPr>
        <w:t>ATA DE REGISTRO DE PREÇOS Nº XXX/XXX</w:t>
      </w:r>
    </w:p>
    <w:p w14:paraId="34415C08">
      <w:pPr>
        <w:contextualSpacing/>
        <w:jc w:val="center"/>
        <w:rPr>
          <w:b/>
          <w:bCs/>
          <w:sz w:val="24"/>
          <w:szCs w:val="24"/>
        </w:rPr>
      </w:pPr>
      <w:r>
        <w:rPr>
          <w:b/>
          <w:bCs/>
          <w:sz w:val="24"/>
          <w:szCs w:val="24"/>
        </w:rPr>
        <w:t>MUNICÍPIO DE VALENÇA</w:t>
      </w:r>
    </w:p>
    <w:p w14:paraId="71C7835E">
      <w:pPr>
        <w:contextualSpacing/>
        <w:jc w:val="center"/>
        <w:rPr>
          <w:b/>
          <w:bCs/>
          <w:sz w:val="24"/>
          <w:szCs w:val="24"/>
        </w:rPr>
      </w:pPr>
      <w:r>
        <w:rPr>
          <w:b/>
          <w:sz w:val="24"/>
          <w:szCs w:val="24"/>
        </w:rPr>
        <w:t>SECRETARIA MUNICIPAL DE ASSISTÊNCIA, ESPORTE E ENVELHECIMENTO SAUDÁVEL</w:t>
      </w:r>
    </w:p>
    <w:p w14:paraId="0E079108">
      <w:pPr>
        <w:spacing w:after="120"/>
        <w:ind w:left="3969" w:right="-15"/>
        <w:contextualSpacing/>
        <w:jc w:val="both"/>
        <w:rPr>
          <w:b/>
          <w:sz w:val="24"/>
          <w:szCs w:val="24"/>
        </w:rPr>
      </w:pPr>
    </w:p>
    <w:p w14:paraId="53539854">
      <w:pPr>
        <w:spacing w:after="120"/>
        <w:ind w:left="3969" w:right="-15"/>
        <w:contextualSpacing/>
        <w:jc w:val="both"/>
        <w:rPr>
          <w:b/>
          <w:sz w:val="24"/>
          <w:szCs w:val="24"/>
        </w:rPr>
      </w:pPr>
    </w:p>
    <w:p w14:paraId="1D55E4D3">
      <w:pPr>
        <w:widowControl w:val="0"/>
        <w:tabs>
          <w:tab w:val="center" w:pos="4779"/>
          <w:tab w:val="right" w:pos="9198"/>
        </w:tabs>
        <w:autoSpaceDE w:val="0"/>
        <w:autoSpaceDN w:val="0"/>
        <w:adjustRightInd w:val="0"/>
        <w:spacing w:before="120" w:after="120" w:line="288" w:lineRule="auto"/>
        <w:ind w:right="-28"/>
        <w:contextualSpacing/>
        <w:jc w:val="both"/>
        <w:rPr>
          <w:sz w:val="24"/>
          <w:szCs w:val="24"/>
        </w:rPr>
      </w:pPr>
      <w:r>
        <w:rPr>
          <w:rFonts w:eastAsia="Arial"/>
          <w:b/>
          <w:bCs/>
          <w:sz w:val="24"/>
          <w:szCs w:val="24"/>
        </w:rPr>
        <w:t xml:space="preserve">O MUNICÍPIO DE VALENÇA, </w:t>
      </w:r>
      <w:r>
        <w:rPr>
          <w:b/>
          <w:bCs/>
          <w:sz w:val="24"/>
          <w:szCs w:val="24"/>
        </w:rPr>
        <w:t xml:space="preserve">pela SECRETARIA MUNICIPAL DE </w:t>
      </w:r>
      <w:r>
        <w:rPr>
          <w:b/>
          <w:sz w:val="24"/>
          <w:szCs w:val="24"/>
        </w:rPr>
        <w:t>ASSISTÊNCIA, ESPORTE E ENVELHECIMENTO SAUDÁVEL</w:t>
      </w:r>
      <w:r>
        <w:rPr>
          <w:sz w:val="24"/>
          <w:szCs w:val="24"/>
        </w:rPr>
        <w:t xml:space="preserve">, com sede na xxx , na cidade de Valença, no Estado do Rio de Janeiro, inscrita no CNPJ sob o nº ................................, neste ato representado por xxxx, Matrícula: ....., portadora do CPF nº ...., considerando o resultado do Pregão Eletrônico nº xxx/2026, publicada no ...... de ...../...../202... para REGISTRO DE PREÇOS, processo administrativo SEI nº ........, RESOLVE registrar os preços da  empresa indicada e qualificada nesta ATA, de acordo com a classificação por ela alcançada e na quantidade  cotada, atendendo as condições previstas no </w:t>
      </w:r>
      <w:bookmarkStart w:id="43" w:name="_Hlk158816343"/>
      <w:r>
        <w:rPr>
          <w:sz w:val="24"/>
          <w:szCs w:val="24"/>
        </w:rPr>
        <w:t xml:space="preserve">Edital de licitação </w:t>
      </w:r>
      <w:bookmarkStart w:id="44" w:name="_Hlk155800648"/>
      <w:r>
        <w:rPr>
          <w:sz w:val="24"/>
          <w:szCs w:val="24"/>
        </w:rPr>
        <w:t>nº xxx/202</w:t>
      </w:r>
      <w:bookmarkEnd w:id="44"/>
      <w:r>
        <w:rPr>
          <w:sz w:val="24"/>
          <w:szCs w:val="24"/>
        </w:rPr>
        <w:t>6 Termo de Referência</w:t>
      </w:r>
      <w:bookmarkEnd w:id="43"/>
      <w:r>
        <w:rPr>
          <w:sz w:val="24"/>
          <w:szCs w:val="24"/>
        </w:rPr>
        <w:t xml:space="preserve">, sujeitando-se as partes às normas constantes na Lei nº 14.133, de 1º de abril de 2021, no Decreto nº 46, de 25 de fevereiro de 2025 </w:t>
      </w:r>
      <w:r>
        <w:rPr>
          <w:rFonts w:eastAsia="Arial"/>
          <w:sz w:val="24"/>
          <w:szCs w:val="24"/>
        </w:rPr>
        <w:t xml:space="preserve">e nos demais normativos municipais aplicáveis, todos disponíveis </w:t>
      </w:r>
      <w:r>
        <w:rPr>
          <w:sz w:val="24"/>
          <w:szCs w:val="24"/>
        </w:rPr>
        <w:t>no endereço eletrônico xxx, e em conformidade com as disposições a seguir:</w:t>
      </w:r>
    </w:p>
    <w:p w14:paraId="4487EB9A">
      <w:pPr>
        <w:pStyle w:val="81"/>
        <w:spacing w:before="0" w:beforeAutospacing="0" w:after="0" w:afterAutospacing="0" w:line="288" w:lineRule="auto"/>
        <w:ind w:right="-1"/>
        <w:contextualSpacing/>
        <w:jc w:val="both"/>
      </w:pPr>
    </w:p>
    <w:p w14:paraId="5C2AEE82">
      <w:pPr>
        <w:pStyle w:val="81"/>
        <w:spacing w:before="0" w:beforeAutospacing="0" w:after="0" w:afterAutospacing="0" w:line="288" w:lineRule="auto"/>
        <w:ind w:right="-1"/>
        <w:contextualSpacing/>
        <w:jc w:val="both"/>
        <w:rPr>
          <w:b/>
          <w:bCs/>
        </w:rPr>
      </w:pPr>
      <w:r>
        <w:rPr>
          <w:b/>
          <w:bCs/>
        </w:rPr>
        <w:t xml:space="preserve">CLÁUSULA PRIMEIRA: OBJETO </w:t>
      </w:r>
    </w:p>
    <w:p w14:paraId="0C57C691">
      <w:pPr>
        <w:pStyle w:val="81"/>
        <w:spacing w:before="0" w:beforeAutospacing="0" w:after="0" w:afterAutospacing="0" w:line="288" w:lineRule="auto"/>
        <w:ind w:right="-1"/>
        <w:contextualSpacing/>
        <w:jc w:val="both"/>
        <w:rPr>
          <w:b/>
          <w:bCs/>
        </w:rPr>
      </w:pPr>
    </w:p>
    <w:p w14:paraId="60AA4966">
      <w:pPr>
        <w:spacing w:line="288" w:lineRule="auto"/>
        <w:contextualSpacing/>
        <w:jc w:val="both"/>
        <w:rPr>
          <w:color w:val="000000"/>
          <w:sz w:val="24"/>
          <w:szCs w:val="24"/>
        </w:rPr>
      </w:pPr>
      <w:r>
        <w:rPr>
          <w:rFonts w:eastAsia="Cambria"/>
          <w:sz w:val="24"/>
          <w:szCs w:val="24"/>
        </w:rPr>
        <w:t xml:space="preserve">1.1 </w:t>
      </w:r>
      <w:r>
        <w:rPr>
          <w:sz w:val="24"/>
          <w:szCs w:val="24"/>
        </w:rPr>
        <w:t>Aquisição de urnas mortuárias em madeira, destinadas ao atendimento de famílias em situação de vulnerabilidade social, no âmbito da concessão de benefícios eventuais (auxílio funeral).</w:t>
      </w:r>
    </w:p>
    <w:p w14:paraId="1AF09E8F">
      <w:pPr>
        <w:pStyle w:val="83"/>
        <w:numPr>
          <w:ilvl w:val="1"/>
          <w:numId w:val="0"/>
        </w:numPr>
        <w:autoSpaceDE w:val="0"/>
        <w:autoSpaceDN w:val="0"/>
        <w:adjustRightInd w:val="0"/>
        <w:spacing w:line="288" w:lineRule="auto"/>
        <w:contextualSpacing/>
        <w:rPr>
          <w:rFonts w:ascii="Times New Roman" w:hAnsi="Times New Roman" w:cs="Times New Roman"/>
          <w:sz w:val="24"/>
          <w:szCs w:val="24"/>
        </w:rPr>
      </w:pPr>
    </w:p>
    <w:p w14:paraId="1BFF9703">
      <w:pPr>
        <w:pStyle w:val="83"/>
        <w:numPr>
          <w:ilvl w:val="1"/>
          <w:numId w:val="0"/>
        </w:numPr>
        <w:autoSpaceDE w:val="0"/>
        <w:autoSpaceDN w:val="0"/>
        <w:adjustRightInd w:val="0"/>
        <w:spacing w:line="288" w:lineRule="auto"/>
        <w:contextualSpacing/>
        <w:rPr>
          <w:rFonts w:ascii="Times New Roman" w:hAnsi="Times New Roman" w:cs="Times New Roman"/>
          <w:b/>
          <w:bCs/>
          <w:sz w:val="24"/>
          <w:szCs w:val="24"/>
        </w:rPr>
      </w:pPr>
      <w:r>
        <w:rPr>
          <w:rFonts w:ascii="Times New Roman" w:hAnsi="Times New Roman" w:cs="Times New Roman"/>
          <w:b/>
          <w:bCs/>
          <w:sz w:val="24"/>
          <w:szCs w:val="24"/>
        </w:rPr>
        <w:t xml:space="preserve">CLÁUSULA SEGUNDA: DA ATA DE REGISTRO DE PREÇOS   </w:t>
      </w:r>
    </w:p>
    <w:p w14:paraId="3751175F">
      <w:pPr>
        <w:pStyle w:val="83"/>
        <w:numPr>
          <w:ilvl w:val="1"/>
          <w:numId w:val="0"/>
        </w:numPr>
        <w:autoSpaceDE w:val="0"/>
        <w:autoSpaceDN w:val="0"/>
        <w:adjustRightInd w:val="0"/>
        <w:spacing w:line="288" w:lineRule="auto"/>
        <w:contextualSpacing/>
        <w:rPr>
          <w:rFonts w:ascii="Times New Roman" w:hAnsi="Times New Roman" w:cs="Times New Roman"/>
          <w:sz w:val="24"/>
          <w:szCs w:val="24"/>
        </w:rPr>
      </w:pPr>
    </w:p>
    <w:p w14:paraId="20FD5E06">
      <w:pPr>
        <w:spacing w:line="288" w:lineRule="auto"/>
        <w:contextualSpacing/>
        <w:jc w:val="both"/>
        <w:rPr>
          <w:color w:val="000000"/>
          <w:sz w:val="24"/>
          <w:szCs w:val="24"/>
        </w:rPr>
      </w:pPr>
      <w:r>
        <w:rPr>
          <w:sz w:val="24"/>
          <w:szCs w:val="24"/>
        </w:rPr>
        <w:t>2.1 Aquisição de urnas mortuárias em madeira, destinadas ao atendimento de famílias em situação de vulnerabilidade social, no âmbito da concessão de benefícios eventuais (auxílio funeral).</w:t>
      </w:r>
    </w:p>
    <w:p w14:paraId="6CD032E7">
      <w:pPr>
        <w:tabs>
          <w:tab w:val="left" w:pos="1404"/>
        </w:tabs>
        <w:spacing w:line="288" w:lineRule="auto"/>
        <w:contextualSpacing/>
        <w:jc w:val="both"/>
        <w:rPr>
          <w:rFonts w:eastAsia="Arial"/>
          <w:sz w:val="24"/>
          <w:szCs w:val="24"/>
        </w:rPr>
      </w:pPr>
    </w:p>
    <w:p w14:paraId="0A3DB671">
      <w:pPr>
        <w:spacing w:line="288" w:lineRule="auto"/>
        <w:contextualSpacing/>
        <w:jc w:val="both"/>
        <w:rPr>
          <w:b/>
          <w:sz w:val="24"/>
          <w:szCs w:val="24"/>
        </w:rPr>
      </w:pPr>
      <w:r>
        <w:rPr>
          <w:sz w:val="24"/>
          <w:szCs w:val="24"/>
        </w:rPr>
        <w:t xml:space="preserve">2.2 A contratação com o fornecedor registrado não é obrigatória e será realizada de acordo com a necessidade do </w:t>
      </w:r>
      <w:r>
        <w:rPr>
          <w:bCs/>
          <w:sz w:val="24"/>
          <w:szCs w:val="24"/>
        </w:rPr>
        <w:t>gerenciador e dos participantes, quando houver,</w:t>
      </w:r>
      <w:r>
        <w:rPr>
          <w:b/>
          <w:sz w:val="24"/>
          <w:szCs w:val="24"/>
        </w:rPr>
        <w:t xml:space="preserve"> </w:t>
      </w:r>
      <w:r>
        <w:rPr>
          <w:sz w:val="24"/>
          <w:szCs w:val="24"/>
        </w:rPr>
        <w:t>e de acordo com o quantitativo indicado na cláusula quinta</w:t>
      </w:r>
      <w:r>
        <w:rPr>
          <w:b/>
          <w:sz w:val="24"/>
          <w:szCs w:val="24"/>
        </w:rPr>
        <w:t>.</w:t>
      </w:r>
    </w:p>
    <w:p w14:paraId="7C8CBD87">
      <w:pPr>
        <w:spacing w:line="288" w:lineRule="auto"/>
        <w:contextualSpacing/>
        <w:jc w:val="both"/>
        <w:rPr>
          <w:b/>
          <w:sz w:val="24"/>
          <w:szCs w:val="24"/>
        </w:rPr>
      </w:pPr>
    </w:p>
    <w:p w14:paraId="3E4FD1E3">
      <w:pPr>
        <w:autoSpaceDE w:val="0"/>
        <w:autoSpaceDN w:val="0"/>
        <w:adjustRightInd w:val="0"/>
        <w:spacing w:line="288" w:lineRule="auto"/>
        <w:contextualSpacing/>
        <w:jc w:val="both"/>
        <w:rPr>
          <w:sz w:val="24"/>
          <w:szCs w:val="24"/>
        </w:rPr>
      </w:pPr>
      <w:r>
        <w:rPr>
          <w:bCs/>
          <w:sz w:val="24"/>
          <w:szCs w:val="24"/>
        </w:rPr>
        <w:t xml:space="preserve">2.3 </w:t>
      </w:r>
      <w:r>
        <w:rPr>
          <w:sz w:val="24"/>
          <w:szCs w:val="24"/>
        </w:rPr>
        <w:t xml:space="preserve">A Administração poderá realizar </w:t>
      </w:r>
      <w:r>
        <w:rPr>
          <w:color w:val="231F20"/>
          <w:sz w:val="24"/>
          <w:szCs w:val="24"/>
        </w:rPr>
        <w:t xml:space="preserve">licitação ou contratação direta </w:t>
      </w:r>
      <w:r>
        <w:rPr>
          <w:sz w:val="24"/>
          <w:szCs w:val="24"/>
        </w:rPr>
        <w:t>para</w:t>
      </w:r>
      <w:r>
        <w:rPr>
          <w:color w:val="231F20"/>
          <w:sz w:val="24"/>
          <w:szCs w:val="24"/>
        </w:rPr>
        <w:t xml:space="preserve"> a aquisição de mesmo objeto da presente Ata,</w:t>
      </w:r>
      <w:r>
        <w:rPr>
          <w:sz w:val="24"/>
          <w:szCs w:val="24"/>
        </w:rPr>
        <w:t xml:space="preserve"> desde que devidamente motivada, observado o disposto no art. 26, parágrafo único, do Decreto nº 46/2025</w:t>
      </w:r>
      <w:r>
        <w:rPr>
          <w:color w:val="231F20"/>
          <w:sz w:val="24"/>
          <w:szCs w:val="24"/>
        </w:rPr>
        <w:t>.</w:t>
      </w:r>
      <w:r>
        <w:rPr>
          <w:sz w:val="24"/>
          <w:szCs w:val="24"/>
        </w:rPr>
        <w:t xml:space="preserve"> </w:t>
      </w:r>
    </w:p>
    <w:p w14:paraId="1733D665">
      <w:pPr>
        <w:spacing w:line="288" w:lineRule="auto"/>
        <w:contextualSpacing/>
        <w:jc w:val="both"/>
        <w:rPr>
          <w:sz w:val="24"/>
          <w:szCs w:val="24"/>
        </w:rPr>
      </w:pPr>
    </w:p>
    <w:p w14:paraId="3AB4ADDE">
      <w:pPr>
        <w:spacing w:line="288" w:lineRule="auto"/>
        <w:contextualSpacing/>
        <w:jc w:val="both"/>
        <w:rPr>
          <w:color w:val="231F20"/>
          <w:sz w:val="24"/>
          <w:szCs w:val="24"/>
        </w:rPr>
      </w:pPr>
      <w:r>
        <w:rPr>
          <w:rFonts w:eastAsia="Arial"/>
          <w:bCs/>
          <w:sz w:val="24"/>
          <w:szCs w:val="24"/>
        </w:rPr>
        <w:t>2.4 Esta</w:t>
      </w:r>
      <w:r>
        <w:rPr>
          <w:bCs/>
          <w:sz w:val="24"/>
          <w:szCs w:val="24"/>
        </w:rPr>
        <w:t xml:space="preserve"> </w:t>
      </w:r>
      <w:r>
        <w:rPr>
          <w:sz w:val="24"/>
          <w:szCs w:val="24"/>
        </w:rPr>
        <w:t xml:space="preserve">Ata de Registro de Preços, com a indicação do </w:t>
      </w:r>
      <w:r>
        <w:rPr>
          <w:color w:val="231F20"/>
          <w:sz w:val="24"/>
          <w:szCs w:val="24"/>
        </w:rPr>
        <w:t xml:space="preserve">preço registrado e dos fornecedores, será divulgada no </w:t>
      </w:r>
      <w:r>
        <w:rPr>
          <w:sz w:val="24"/>
          <w:szCs w:val="24"/>
        </w:rPr>
        <w:t xml:space="preserve">Portal Nacional de Contratações Públicas – PNCP e no </w:t>
      </w:r>
      <w:r>
        <w:rPr>
          <w:color w:val="231F20"/>
          <w:sz w:val="24"/>
          <w:szCs w:val="24"/>
        </w:rPr>
        <w:t>Site da Prefeitura de Valença.</w:t>
      </w:r>
    </w:p>
    <w:p w14:paraId="407EFAEF">
      <w:pPr>
        <w:spacing w:line="288" w:lineRule="auto"/>
        <w:contextualSpacing/>
        <w:jc w:val="both"/>
        <w:rPr>
          <w:color w:val="231F20"/>
          <w:sz w:val="24"/>
          <w:szCs w:val="24"/>
        </w:rPr>
      </w:pPr>
    </w:p>
    <w:p w14:paraId="3B4206F3">
      <w:pPr>
        <w:spacing w:line="288" w:lineRule="auto"/>
        <w:contextualSpacing/>
        <w:jc w:val="both"/>
        <w:rPr>
          <w:rFonts w:eastAsia="Arial"/>
          <w:b/>
          <w:sz w:val="24"/>
          <w:szCs w:val="24"/>
        </w:rPr>
      </w:pPr>
      <w:r>
        <w:rPr>
          <w:b/>
          <w:bCs/>
          <w:sz w:val="24"/>
          <w:szCs w:val="24"/>
        </w:rPr>
        <w:t>CLÁUSULA TERCEIRA:</w:t>
      </w:r>
      <w:r>
        <w:rPr>
          <w:sz w:val="24"/>
          <w:szCs w:val="24"/>
        </w:rPr>
        <w:t xml:space="preserve"> </w:t>
      </w:r>
      <w:r>
        <w:rPr>
          <w:b/>
          <w:bCs/>
          <w:sz w:val="24"/>
          <w:szCs w:val="24"/>
        </w:rPr>
        <w:t>DO FORNECEDOR,</w:t>
      </w:r>
      <w:r>
        <w:rPr>
          <w:sz w:val="24"/>
          <w:szCs w:val="24"/>
        </w:rPr>
        <w:t xml:space="preserve"> </w:t>
      </w:r>
      <w:r>
        <w:rPr>
          <w:rFonts w:eastAsia="Arial"/>
          <w:b/>
          <w:sz w:val="24"/>
          <w:szCs w:val="24"/>
        </w:rPr>
        <w:t xml:space="preserve">DO GERENCIADOR, DOS PARTICIPANTES E DAS ATRIBUIÇÕES  </w:t>
      </w:r>
    </w:p>
    <w:p w14:paraId="6F1162C1">
      <w:pPr>
        <w:spacing w:line="288" w:lineRule="auto"/>
        <w:contextualSpacing/>
        <w:jc w:val="both"/>
        <w:rPr>
          <w:rFonts w:eastAsia="Arial"/>
          <w:sz w:val="24"/>
          <w:szCs w:val="24"/>
        </w:rPr>
      </w:pPr>
    </w:p>
    <w:p w14:paraId="09067516">
      <w:pPr>
        <w:spacing w:line="288" w:lineRule="auto"/>
        <w:contextualSpacing/>
        <w:jc w:val="both"/>
        <w:rPr>
          <w:rFonts w:eastAsia="Arial"/>
          <w:sz w:val="24"/>
          <w:szCs w:val="24"/>
        </w:rPr>
      </w:pPr>
      <w:r>
        <w:rPr>
          <w:rFonts w:eastAsia="Arial"/>
          <w:sz w:val="24"/>
          <w:szCs w:val="24"/>
        </w:rPr>
        <w:t xml:space="preserve">3.1 O fornecedor desta Ata de Registro de Preços é </w:t>
      </w:r>
      <w:r>
        <w:rPr>
          <w:rFonts w:eastAsia="Arial"/>
          <w:color w:val="FF0000"/>
          <w:sz w:val="24"/>
          <w:szCs w:val="24"/>
        </w:rPr>
        <w:t>...................</w:t>
      </w:r>
      <w:r>
        <w:rPr>
          <w:sz w:val="24"/>
          <w:szCs w:val="24"/>
        </w:rPr>
        <w:t>, na forma do Anexo I – Consolidação das Informações da Ata de Registro de Preços.</w:t>
      </w:r>
    </w:p>
    <w:p w14:paraId="57C680EB">
      <w:pPr>
        <w:spacing w:line="288" w:lineRule="auto"/>
        <w:contextualSpacing/>
        <w:jc w:val="both"/>
        <w:rPr>
          <w:rFonts w:eastAsia="Arial"/>
          <w:sz w:val="24"/>
          <w:szCs w:val="24"/>
        </w:rPr>
      </w:pPr>
    </w:p>
    <w:p w14:paraId="754C8C7D">
      <w:pPr>
        <w:spacing w:line="288" w:lineRule="auto"/>
        <w:contextualSpacing/>
        <w:jc w:val="both"/>
        <w:rPr>
          <w:sz w:val="24"/>
          <w:szCs w:val="24"/>
          <w:highlight w:val="yellow"/>
        </w:rPr>
      </w:pPr>
      <w:r>
        <w:rPr>
          <w:rFonts w:eastAsia="Arial"/>
          <w:sz w:val="24"/>
          <w:szCs w:val="24"/>
        </w:rPr>
        <w:t xml:space="preserve">3.1.1 </w:t>
      </w:r>
      <w:r>
        <w:rPr>
          <w:sz w:val="24"/>
          <w:szCs w:val="24"/>
        </w:rPr>
        <w:t xml:space="preserve">O fornecedor registrado deverá manter durante toda a vigência da Ata de Registro de Preços a compatibilidade com as obrigações assumidas, assim como todas as condições exigidas </w:t>
      </w:r>
      <w:r>
        <w:rPr>
          <w:rFonts w:eastAsia="Arial"/>
          <w:sz w:val="24"/>
          <w:szCs w:val="24"/>
        </w:rPr>
        <w:t xml:space="preserve">no </w:t>
      </w:r>
      <w:r>
        <w:rPr>
          <w:sz w:val="24"/>
          <w:szCs w:val="24"/>
        </w:rPr>
        <w:t>instrumento convocatório, quando houver,</w:t>
      </w:r>
      <w:r>
        <w:rPr>
          <w:rFonts w:eastAsia="Arial"/>
          <w:sz w:val="24"/>
          <w:szCs w:val="24"/>
        </w:rPr>
        <w:t xml:space="preserve"> e no Termo de Referência</w:t>
      </w:r>
      <w:r>
        <w:rPr>
          <w:sz w:val="24"/>
          <w:szCs w:val="24"/>
        </w:rPr>
        <w:t>, inclusive as referentes à habilitação e às condições de participação.</w:t>
      </w:r>
      <w:r>
        <w:rPr>
          <w:sz w:val="24"/>
          <w:szCs w:val="24"/>
          <w:highlight w:val="yellow"/>
        </w:rPr>
        <w:t xml:space="preserve"> </w:t>
      </w:r>
    </w:p>
    <w:p w14:paraId="14B67E71">
      <w:pPr>
        <w:spacing w:line="288" w:lineRule="auto"/>
        <w:contextualSpacing/>
        <w:jc w:val="both"/>
        <w:rPr>
          <w:rFonts w:eastAsia="Arial"/>
          <w:sz w:val="24"/>
          <w:szCs w:val="24"/>
        </w:rPr>
      </w:pPr>
    </w:p>
    <w:p w14:paraId="381D5F3C">
      <w:pPr>
        <w:spacing w:line="288" w:lineRule="auto"/>
        <w:contextualSpacing/>
        <w:jc w:val="both"/>
        <w:rPr>
          <w:rFonts w:eastAsia="Arial"/>
          <w:sz w:val="24"/>
          <w:szCs w:val="24"/>
        </w:rPr>
      </w:pPr>
      <w:r>
        <w:rPr>
          <w:rFonts w:eastAsia="Arial"/>
          <w:sz w:val="24"/>
          <w:szCs w:val="24"/>
        </w:rPr>
        <w:t xml:space="preserve">3.2 O </w:t>
      </w:r>
      <w:r>
        <w:rPr>
          <w:rFonts w:eastAsia="Arial"/>
          <w:bCs/>
          <w:sz w:val="24"/>
          <w:szCs w:val="24"/>
        </w:rPr>
        <w:t>gerenciador</w:t>
      </w:r>
      <w:r>
        <w:rPr>
          <w:rFonts w:eastAsia="Arial"/>
          <w:b/>
          <w:sz w:val="24"/>
          <w:szCs w:val="24"/>
        </w:rPr>
        <w:t xml:space="preserve"> </w:t>
      </w:r>
      <w:r>
        <w:rPr>
          <w:rFonts w:eastAsia="Arial"/>
          <w:sz w:val="24"/>
          <w:szCs w:val="24"/>
        </w:rPr>
        <w:t>desta Ata de Registro de Preços é a Secretaria Municipal de Assistência, Esporte e Envelhecimento saudável</w:t>
      </w:r>
      <w:r>
        <w:rPr>
          <w:sz w:val="24"/>
          <w:szCs w:val="24"/>
        </w:rPr>
        <w:t>.</w:t>
      </w:r>
    </w:p>
    <w:p w14:paraId="59DB64C0">
      <w:pPr>
        <w:spacing w:line="288" w:lineRule="auto"/>
        <w:contextualSpacing/>
        <w:jc w:val="both"/>
        <w:rPr>
          <w:rFonts w:eastAsia="Arial"/>
          <w:bCs/>
          <w:sz w:val="24"/>
          <w:szCs w:val="24"/>
        </w:rPr>
      </w:pPr>
    </w:p>
    <w:p w14:paraId="50B4FF6D">
      <w:pPr>
        <w:spacing w:line="288" w:lineRule="auto"/>
        <w:contextualSpacing/>
        <w:jc w:val="both"/>
        <w:rPr>
          <w:rFonts w:eastAsia="Arial"/>
          <w:bCs/>
          <w:sz w:val="24"/>
          <w:szCs w:val="24"/>
        </w:rPr>
      </w:pPr>
      <w:r>
        <w:rPr>
          <w:rFonts w:eastAsia="Arial"/>
          <w:bCs/>
          <w:sz w:val="24"/>
          <w:szCs w:val="24"/>
        </w:rPr>
        <w:t>3.2.1 São atribuições do gerenciador:</w:t>
      </w:r>
    </w:p>
    <w:p w14:paraId="4AB7E518">
      <w:pPr>
        <w:spacing w:line="288" w:lineRule="auto"/>
        <w:contextualSpacing/>
        <w:jc w:val="both"/>
        <w:rPr>
          <w:rFonts w:eastAsia="Arial"/>
          <w:bCs/>
          <w:sz w:val="24"/>
          <w:szCs w:val="24"/>
        </w:rPr>
      </w:pPr>
    </w:p>
    <w:p w14:paraId="0BDCA429">
      <w:pPr>
        <w:spacing w:line="288" w:lineRule="auto"/>
        <w:contextualSpacing/>
        <w:jc w:val="both"/>
        <w:rPr>
          <w:sz w:val="24"/>
          <w:szCs w:val="24"/>
        </w:rPr>
      </w:pPr>
      <w:r>
        <w:rPr>
          <w:sz w:val="24"/>
          <w:szCs w:val="24"/>
        </w:rPr>
        <w:t>a) aferir, semestralmente, a compatibilidade dos preços registrados com os efetivamente praticados;</w:t>
      </w:r>
    </w:p>
    <w:p w14:paraId="2A927597">
      <w:pPr>
        <w:spacing w:line="288" w:lineRule="auto"/>
        <w:contextualSpacing/>
        <w:jc w:val="both"/>
        <w:rPr>
          <w:sz w:val="24"/>
          <w:szCs w:val="24"/>
        </w:rPr>
      </w:pPr>
    </w:p>
    <w:p w14:paraId="4FB5DA47">
      <w:pPr>
        <w:spacing w:line="288" w:lineRule="auto"/>
        <w:contextualSpacing/>
        <w:jc w:val="both"/>
        <w:rPr>
          <w:sz w:val="24"/>
          <w:szCs w:val="24"/>
        </w:rPr>
      </w:pPr>
      <w:r>
        <w:rPr>
          <w:sz w:val="24"/>
          <w:szCs w:val="24"/>
        </w:rPr>
        <w:t xml:space="preserve">b) divulgar os preços registrados e suas atualizações no Portal da Prefeitura Municipal de Valença; </w:t>
      </w:r>
    </w:p>
    <w:p w14:paraId="0E83A705">
      <w:pPr>
        <w:spacing w:line="288" w:lineRule="auto"/>
        <w:contextualSpacing/>
        <w:jc w:val="both"/>
        <w:rPr>
          <w:sz w:val="24"/>
          <w:szCs w:val="24"/>
        </w:rPr>
      </w:pPr>
    </w:p>
    <w:p w14:paraId="6BAB1A65">
      <w:pPr>
        <w:spacing w:line="288" w:lineRule="auto"/>
        <w:contextualSpacing/>
        <w:jc w:val="both"/>
        <w:rPr>
          <w:sz w:val="24"/>
          <w:szCs w:val="24"/>
        </w:rPr>
      </w:pPr>
      <w:r>
        <w:rPr>
          <w:sz w:val="24"/>
          <w:szCs w:val="24"/>
        </w:rPr>
        <w:t xml:space="preserve">c) praticar todos os atos de controle e gerenciamento dos quantitativos das Atas de Registro de Preços e de seus saldos, das solicitações de adesão e do remanejamento das quantidades; </w:t>
      </w:r>
    </w:p>
    <w:p w14:paraId="1E207BA5">
      <w:pPr>
        <w:spacing w:line="288" w:lineRule="auto"/>
        <w:contextualSpacing/>
        <w:jc w:val="both"/>
        <w:rPr>
          <w:sz w:val="24"/>
          <w:szCs w:val="24"/>
        </w:rPr>
      </w:pPr>
    </w:p>
    <w:p w14:paraId="5F343298">
      <w:pPr>
        <w:spacing w:line="288" w:lineRule="auto"/>
        <w:contextualSpacing/>
        <w:jc w:val="both"/>
        <w:rPr>
          <w:sz w:val="24"/>
          <w:szCs w:val="24"/>
        </w:rPr>
      </w:pPr>
      <w:r>
        <w:rPr>
          <w:sz w:val="24"/>
          <w:szCs w:val="24"/>
        </w:rPr>
        <w:t xml:space="preserve">d) gerenciar a Ata de Registro de Preços, providenciando a indicação, sempre que solicitado, dos fornecedores registrados para atendimento às necessidades do órgão ou entidade, obedecendo à ordem de classificação do certame e os quantitativos de contratação definidos pelos participantes da respectiva ata; </w:t>
      </w:r>
    </w:p>
    <w:p w14:paraId="7085E043">
      <w:pPr>
        <w:spacing w:line="288" w:lineRule="auto"/>
        <w:contextualSpacing/>
        <w:jc w:val="both"/>
        <w:rPr>
          <w:sz w:val="24"/>
          <w:szCs w:val="24"/>
        </w:rPr>
      </w:pPr>
    </w:p>
    <w:p w14:paraId="5AF94B85">
      <w:pPr>
        <w:spacing w:line="288" w:lineRule="auto"/>
        <w:contextualSpacing/>
        <w:jc w:val="both"/>
        <w:rPr>
          <w:sz w:val="24"/>
          <w:szCs w:val="24"/>
        </w:rPr>
      </w:pPr>
      <w:r>
        <w:rPr>
          <w:sz w:val="24"/>
          <w:szCs w:val="24"/>
        </w:rPr>
        <w:t xml:space="preserve">e) deliberar quanto à adesão posterior de órgãos e entidades que não manifestaram interesse em participar do registro de preços durante o período de divulgação da Intenção de Registro de Preços; </w:t>
      </w:r>
    </w:p>
    <w:p w14:paraId="28D31DC9">
      <w:pPr>
        <w:spacing w:line="288" w:lineRule="auto"/>
        <w:contextualSpacing/>
        <w:jc w:val="both"/>
        <w:rPr>
          <w:sz w:val="24"/>
          <w:szCs w:val="24"/>
        </w:rPr>
      </w:pPr>
    </w:p>
    <w:p w14:paraId="462A7426">
      <w:pPr>
        <w:spacing w:line="288" w:lineRule="auto"/>
        <w:contextualSpacing/>
        <w:jc w:val="both"/>
        <w:rPr>
          <w:sz w:val="24"/>
          <w:szCs w:val="24"/>
        </w:rPr>
      </w:pPr>
      <w:r>
        <w:rPr>
          <w:sz w:val="24"/>
          <w:szCs w:val="24"/>
        </w:rPr>
        <w:t xml:space="preserve">f) convocar os proponentes remanescentes, nas hipóteses autorizadas por esta Ata e pelo Decreto nº 46/2025, observada a ordem de classificação; </w:t>
      </w:r>
    </w:p>
    <w:p w14:paraId="65B69E42">
      <w:pPr>
        <w:spacing w:line="288" w:lineRule="auto"/>
        <w:contextualSpacing/>
        <w:jc w:val="both"/>
        <w:rPr>
          <w:sz w:val="24"/>
          <w:szCs w:val="24"/>
        </w:rPr>
      </w:pPr>
    </w:p>
    <w:p w14:paraId="29E23C9E">
      <w:pPr>
        <w:spacing w:line="288" w:lineRule="auto"/>
        <w:contextualSpacing/>
        <w:jc w:val="both"/>
        <w:rPr>
          <w:rFonts w:eastAsia="Arial"/>
          <w:bCs/>
          <w:sz w:val="24"/>
          <w:szCs w:val="24"/>
        </w:rPr>
      </w:pPr>
      <w:r>
        <w:rPr>
          <w:sz w:val="24"/>
          <w:szCs w:val="24"/>
        </w:rPr>
        <w:t>g) conduzir as alterações ou as atualizações dos preços registrados; e</w:t>
      </w:r>
    </w:p>
    <w:p w14:paraId="673C4FCA">
      <w:pPr>
        <w:spacing w:line="288" w:lineRule="auto"/>
        <w:contextualSpacing/>
        <w:jc w:val="both"/>
        <w:rPr>
          <w:sz w:val="24"/>
          <w:szCs w:val="24"/>
        </w:rPr>
      </w:pPr>
    </w:p>
    <w:p w14:paraId="0FCDE2C9">
      <w:pPr>
        <w:spacing w:line="288" w:lineRule="auto"/>
        <w:contextualSpacing/>
        <w:jc w:val="both"/>
        <w:rPr>
          <w:rFonts w:eastAsia="Arial"/>
          <w:bCs/>
          <w:sz w:val="24"/>
          <w:szCs w:val="24"/>
        </w:rPr>
      </w:pPr>
      <w:r>
        <w:rPr>
          <w:sz w:val="24"/>
          <w:szCs w:val="24"/>
        </w:rPr>
        <w:t>h) promover a correta gestão, fiscalização e execução contratual, nos termos do Capítulo VI do Título III da Lei nº 14.133, de 1º de abril de 2021, do disposto no Decreto nº 40, de 25 de fevereiro de 2025, no Termo de Referência e no contrato, com relação às suas próprias contratações.</w:t>
      </w:r>
    </w:p>
    <w:p w14:paraId="6881E9CC">
      <w:pPr>
        <w:spacing w:line="288" w:lineRule="auto"/>
        <w:contextualSpacing/>
        <w:jc w:val="both"/>
        <w:rPr>
          <w:rFonts w:eastAsia="Arial"/>
          <w:bCs/>
          <w:sz w:val="24"/>
          <w:szCs w:val="24"/>
        </w:rPr>
      </w:pPr>
    </w:p>
    <w:p w14:paraId="5AF31A77">
      <w:pPr>
        <w:spacing w:line="288" w:lineRule="auto"/>
        <w:ind w:right="565"/>
        <w:contextualSpacing/>
        <w:jc w:val="both"/>
        <w:rPr>
          <w:bCs/>
          <w:color w:val="000000" w:themeColor="text1"/>
          <w:sz w:val="24"/>
          <w:szCs w:val="24"/>
          <w14:textFill>
            <w14:solidFill>
              <w14:schemeClr w14:val="tx1"/>
            </w14:solidFill>
          </w14:textFill>
        </w:rPr>
      </w:pPr>
      <w:r>
        <w:rPr>
          <w:rFonts w:eastAsia="Arial"/>
          <w:bCs/>
          <w:color w:val="000000" w:themeColor="text1"/>
          <w:sz w:val="24"/>
          <w:szCs w:val="24"/>
          <w14:textFill>
            <w14:solidFill>
              <w14:schemeClr w14:val="tx1"/>
            </w14:solidFill>
          </w14:textFill>
        </w:rPr>
        <w:t>3.3</w:t>
      </w:r>
      <w:r>
        <w:rPr>
          <w:rFonts w:eastAsia="Arial"/>
          <w:b/>
          <w:color w:val="000000" w:themeColor="text1"/>
          <w:sz w:val="24"/>
          <w:szCs w:val="24"/>
          <w14:textFill>
            <w14:solidFill>
              <w14:schemeClr w14:val="tx1"/>
            </w14:solidFill>
          </w14:textFill>
        </w:rPr>
        <w:t xml:space="preserve"> </w:t>
      </w:r>
      <w:r>
        <w:rPr>
          <w:bCs/>
          <w:color w:val="000000" w:themeColor="text1"/>
          <w:sz w:val="24"/>
          <w:szCs w:val="24"/>
          <w14:textFill>
            <w14:solidFill>
              <w14:schemeClr w14:val="tx1"/>
            </w14:solidFill>
          </w14:textFill>
        </w:rPr>
        <w:t>3.3 Não há órgãos/entidades participantes nesta Ata.</w:t>
      </w:r>
    </w:p>
    <w:p w14:paraId="3B4B1B87">
      <w:pPr>
        <w:spacing w:line="288" w:lineRule="auto"/>
        <w:ind w:right="565"/>
        <w:contextualSpacing/>
        <w:jc w:val="both"/>
        <w:rPr>
          <w:bCs/>
          <w:color w:val="000000" w:themeColor="text1"/>
          <w:sz w:val="24"/>
          <w:szCs w:val="24"/>
          <w14:textFill>
            <w14:solidFill>
              <w14:schemeClr w14:val="tx1"/>
            </w14:solidFill>
          </w14:textFill>
        </w:rPr>
      </w:pPr>
    </w:p>
    <w:p w14:paraId="4B6BCAC8">
      <w:pPr>
        <w:spacing w:line="288" w:lineRule="auto"/>
        <w:contextualSpacing/>
        <w:jc w:val="both"/>
        <w:rPr>
          <w:rFonts w:eastAsia="Arial"/>
          <w:b/>
          <w:sz w:val="24"/>
          <w:szCs w:val="24"/>
        </w:rPr>
      </w:pPr>
      <w:r>
        <w:rPr>
          <w:b/>
          <w:bCs/>
          <w:color w:val="231F20"/>
          <w:sz w:val="24"/>
          <w:szCs w:val="24"/>
        </w:rPr>
        <w:t>CLÁUSULA QUARTA:</w:t>
      </w:r>
      <w:r>
        <w:rPr>
          <w:color w:val="231F20"/>
          <w:sz w:val="24"/>
          <w:szCs w:val="24"/>
        </w:rPr>
        <w:t xml:space="preserve"> </w:t>
      </w:r>
      <w:r>
        <w:rPr>
          <w:rFonts w:eastAsia="Arial"/>
          <w:b/>
          <w:sz w:val="24"/>
          <w:szCs w:val="24"/>
        </w:rPr>
        <w:t>DOS NÃO-PARTICIPANTES</w:t>
      </w:r>
    </w:p>
    <w:p w14:paraId="014F321A">
      <w:pPr>
        <w:spacing w:line="288" w:lineRule="auto"/>
        <w:contextualSpacing/>
        <w:jc w:val="both"/>
        <w:rPr>
          <w:rFonts w:eastAsia="Arial"/>
          <w:bCs/>
          <w:sz w:val="24"/>
          <w:szCs w:val="24"/>
        </w:rPr>
      </w:pPr>
    </w:p>
    <w:p w14:paraId="5641C1F2">
      <w:pPr>
        <w:spacing w:line="288" w:lineRule="auto"/>
        <w:contextualSpacing/>
        <w:jc w:val="both"/>
        <w:rPr>
          <w:bCs/>
          <w:sz w:val="24"/>
          <w:szCs w:val="24"/>
        </w:rPr>
      </w:pPr>
      <w:r>
        <w:rPr>
          <w:rFonts w:eastAsia="Arial"/>
          <w:bCs/>
          <w:sz w:val="24"/>
          <w:szCs w:val="24"/>
        </w:rPr>
        <w:t xml:space="preserve">4.1 </w:t>
      </w:r>
      <w:r>
        <w:rPr>
          <w:sz w:val="24"/>
          <w:szCs w:val="24"/>
        </w:rPr>
        <w:t xml:space="preserve">A Ata de Registro de Preços poderá ser aderida por qualquer órgão ou entidade do Município, que não tenha participado </w:t>
      </w:r>
      <w:bookmarkStart w:id="45" w:name="_Hlk158816379"/>
      <w:r>
        <w:rPr>
          <w:sz w:val="24"/>
          <w:szCs w:val="24"/>
        </w:rPr>
        <w:t>do certame</w:t>
      </w:r>
      <w:bookmarkEnd w:id="45"/>
      <w:r>
        <w:rPr>
          <w:sz w:val="24"/>
          <w:szCs w:val="24"/>
        </w:rPr>
        <w:t xml:space="preserve">, ora denominados </w:t>
      </w:r>
      <w:r>
        <w:rPr>
          <w:bCs/>
          <w:sz w:val="24"/>
          <w:szCs w:val="24"/>
        </w:rPr>
        <w:t xml:space="preserve">não-participantes.  </w:t>
      </w:r>
    </w:p>
    <w:p w14:paraId="33BA4B17">
      <w:pPr>
        <w:spacing w:line="288" w:lineRule="auto"/>
        <w:contextualSpacing/>
        <w:jc w:val="both"/>
        <w:rPr>
          <w:bCs/>
          <w:color w:val="231F20"/>
          <w:sz w:val="24"/>
          <w:szCs w:val="24"/>
        </w:rPr>
      </w:pPr>
    </w:p>
    <w:p w14:paraId="0CDF7F0F">
      <w:pPr>
        <w:spacing w:line="288" w:lineRule="auto"/>
        <w:contextualSpacing/>
        <w:jc w:val="both"/>
        <w:rPr>
          <w:color w:val="231F20"/>
          <w:sz w:val="24"/>
          <w:szCs w:val="24"/>
        </w:rPr>
      </w:pPr>
      <w:r>
        <w:rPr>
          <w:rFonts w:eastAsia="Arial"/>
          <w:bCs/>
          <w:sz w:val="24"/>
          <w:szCs w:val="24"/>
        </w:rPr>
        <w:t>4.2</w:t>
      </w:r>
      <w:r>
        <w:rPr>
          <w:rFonts w:eastAsia="Arial"/>
          <w:b/>
          <w:sz w:val="24"/>
          <w:szCs w:val="24"/>
        </w:rPr>
        <w:t xml:space="preserve"> </w:t>
      </w:r>
      <w:r>
        <w:rPr>
          <w:color w:val="231F20"/>
          <w:sz w:val="24"/>
          <w:szCs w:val="24"/>
        </w:rPr>
        <w:t xml:space="preserve">Podem também ser considerados </w:t>
      </w:r>
      <w:r>
        <w:rPr>
          <w:bCs/>
          <w:color w:val="231F20"/>
          <w:sz w:val="24"/>
          <w:szCs w:val="24"/>
        </w:rPr>
        <w:t>não-participantes</w:t>
      </w:r>
      <w:r>
        <w:rPr>
          <w:b/>
          <w:color w:val="231F20"/>
          <w:sz w:val="24"/>
          <w:szCs w:val="24"/>
        </w:rPr>
        <w:t xml:space="preserve"> </w:t>
      </w:r>
      <w:r>
        <w:rPr>
          <w:color w:val="231F20"/>
          <w:sz w:val="24"/>
          <w:szCs w:val="24"/>
        </w:rPr>
        <w:t xml:space="preserve">os órgãos ou entidades municipais, distritais, de outros estados e federais, resguardadas as disposições de cada ente. </w:t>
      </w:r>
    </w:p>
    <w:p w14:paraId="751A23C9">
      <w:pPr>
        <w:spacing w:line="288" w:lineRule="auto"/>
        <w:contextualSpacing/>
        <w:jc w:val="both"/>
        <w:rPr>
          <w:sz w:val="24"/>
          <w:szCs w:val="24"/>
        </w:rPr>
      </w:pPr>
    </w:p>
    <w:p w14:paraId="06DBBED9">
      <w:pPr>
        <w:spacing w:line="288" w:lineRule="auto"/>
        <w:contextualSpacing/>
        <w:jc w:val="both"/>
        <w:rPr>
          <w:color w:val="231F20"/>
          <w:sz w:val="24"/>
          <w:szCs w:val="24"/>
        </w:rPr>
      </w:pPr>
      <w:r>
        <w:rPr>
          <w:sz w:val="24"/>
          <w:szCs w:val="24"/>
        </w:rPr>
        <w:t xml:space="preserve">4.3 Os </w:t>
      </w:r>
      <w:r>
        <w:rPr>
          <w:bCs/>
          <w:color w:val="231F20"/>
          <w:sz w:val="24"/>
          <w:szCs w:val="24"/>
        </w:rPr>
        <w:t>não-participantes</w:t>
      </w:r>
      <w:r>
        <w:rPr>
          <w:sz w:val="24"/>
          <w:szCs w:val="24"/>
        </w:rPr>
        <w:t xml:space="preserve"> poderão aderir a esta Ata de Registro de Preços, desde que observados os seguintes requisitos, cumulativamente:</w:t>
      </w:r>
    </w:p>
    <w:p w14:paraId="373542CE">
      <w:pPr>
        <w:tabs>
          <w:tab w:val="left" w:pos="497"/>
        </w:tabs>
        <w:spacing w:line="288" w:lineRule="auto"/>
        <w:contextualSpacing/>
        <w:jc w:val="both"/>
        <w:rPr>
          <w:sz w:val="24"/>
          <w:szCs w:val="24"/>
        </w:rPr>
      </w:pPr>
    </w:p>
    <w:p w14:paraId="1150A69D">
      <w:pPr>
        <w:tabs>
          <w:tab w:val="left" w:pos="497"/>
        </w:tabs>
        <w:spacing w:line="288" w:lineRule="auto"/>
        <w:contextualSpacing/>
        <w:jc w:val="both"/>
        <w:rPr>
          <w:sz w:val="24"/>
          <w:szCs w:val="24"/>
        </w:rPr>
      </w:pPr>
      <w:r>
        <w:rPr>
          <w:sz w:val="24"/>
          <w:szCs w:val="24"/>
        </w:rPr>
        <w:t xml:space="preserve">4.3.1 apresentação de justificativa da vantagem da adesão, inclusive em situações de provável desabastecimento ou descontinuidade de serviço público; </w:t>
      </w:r>
    </w:p>
    <w:p w14:paraId="5E149D57">
      <w:pPr>
        <w:tabs>
          <w:tab w:val="left" w:pos="497"/>
        </w:tabs>
        <w:spacing w:line="288" w:lineRule="auto"/>
        <w:contextualSpacing/>
        <w:jc w:val="both"/>
        <w:rPr>
          <w:sz w:val="24"/>
          <w:szCs w:val="24"/>
        </w:rPr>
      </w:pPr>
    </w:p>
    <w:p w14:paraId="57E4F74F">
      <w:pPr>
        <w:tabs>
          <w:tab w:val="left" w:pos="497"/>
        </w:tabs>
        <w:spacing w:line="288" w:lineRule="auto"/>
        <w:contextualSpacing/>
        <w:jc w:val="both"/>
        <w:rPr>
          <w:sz w:val="24"/>
          <w:szCs w:val="24"/>
        </w:rPr>
      </w:pPr>
      <w:r>
        <w:rPr>
          <w:sz w:val="24"/>
          <w:szCs w:val="24"/>
        </w:rPr>
        <w:t xml:space="preserve">4.3.2 apresentação de estudo que demonstre eficiência, viabilidade e economicidade para a Administração contratante; </w:t>
      </w:r>
    </w:p>
    <w:p w14:paraId="05F07056">
      <w:pPr>
        <w:tabs>
          <w:tab w:val="left" w:pos="497"/>
        </w:tabs>
        <w:spacing w:line="288" w:lineRule="auto"/>
        <w:contextualSpacing/>
        <w:jc w:val="both"/>
        <w:rPr>
          <w:sz w:val="24"/>
          <w:szCs w:val="24"/>
        </w:rPr>
      </w:pPr>
    </w:p>
    <w:p w14:paraId="74125686">
      <w:pPr>
        <w:tabs>
          <w:tab w:val="left" w:pos="497"/>
        </w:tabs>
        <w:spacing w:line="288" w:lineRule="auto"/>
        <w:contextualSpacing/>
        <w:jc w:val="both"/>
        <w:rPr>
          <w:sz w:val="24"/>
          <w:szCs w:val="24"/>
        </w:rPr>
      </w:pPr>
      <w:r>
        <w:rPr>
          <w:sz w:val="24"/>
          <w:szCs w:val="24"/>
        </w:rPr>
        <w:t xml:space="preserve">4.3.3 demonstração de que os valores registrados estão compatíveis com os valores praticados pelo mercado, na forma do art. 23 da Lei nº 14.133/2021; e </w:t>
      </w:r>
    </w:p>
    <w:p w14:paraId="7E8E5739">
      <w:pPr>
        <w:tabs>
          <w:tab w:val="left" w:pos="497"/>
        </w:tabs>
        <w:spacing w:line="288" w:lineRule="auto"/>
        <w:contextualSpacing/>
        <w:jc w:val="both"/>
        <w:rPr>
          <w:sz w:val="24"/>
          <w:szCs w:val="24"/>
        </w:rPr>
      </w:pPr>
    </w:p>
    <w:p w14:paraId="35B53259">
      <w:pPr>
        <w:tabs>
          <w:tab w:val="left" w:pos="497"/>
        </w:tabs>
        <w:spacing w:line="288" w:lineRule="auto"/>
        <w:contextualSpacing/>
        <w:jc w:val="both"/>
        <w:rPr>
          <w:rFonts w:eastAsia="Arial"/>
          <w:sz w:val="24"/>
          <w:szCs w:val="24"/>
        </w:rPr>
      </w:pPr>
      <w:r>
        <w:rPr>
          <w:sz w:val="24"/>
          <w:szCs w:val="24"/>
        </w:rPr>
        <w:t xml:space="preserve">4.3.4 prévia consulta e aceitação do </w:t>
      </w:r>
      <w:r>
        <w:rPr>
          <w:bCs/>
          <w:sz w:val="24"/>
          <w:szCs w:val="24"/>
        </w:rPr>
        <w:t>gerenciador</w:t>
      </w:r>
      <w:r>
        <w:rPr>
          <w:sz w:val="24"/>
          <w:szCs w:val="24"/>
        </w:rPr>
        <w:t xml:space="preserve"> e do fornecedor.</w:t>
      </w:r>
    </w:p>
    <w:p w14:paraId="035957ED">
      <w:pPr>
        <w:tabs>
          <w:tab w:val="left" w:pos="497"/>
        </w:tabs>
        <w:spacing w:line="288" w:lineRule="auto"/>
        <w:contextualSpacing/>
        <w:jc w:val="both"/>
        <w:rPr>
          <w:rFonts w:eastAsia="Arial"/>
          <w:sz w:val="24"/>
          <w:szCs w:val="24"/>
        </w:rPr>
      </w:pPr>
    </w:p>
    <w:p w14:paraId="158EDF8A">
      <w:pPr>
        <w:autoSpaceDE w:val="0"/>
        <w:autoSpaceDN w:val="0"/>
        <w:adjustRightInd w:val="0"/>
        <w:spacing w:line="288" w:lineRule="auto"/>
        <w:contextualSpacing/>
        <w:jc w:val="both"/>
        <w:rPr>
          <w:bCs/>
          <w:color w:val="231F20"/>
          <w:sz w:val="24"/>
          <w:szCs w:val="24"/>
        </w:rPr>
      </w:pPr>
      <w:r>
        <w:rPr>
          <w:color w:val="231F20"/>
          <w:sz w:val="24"/>
          <w:szCs w:val="24"/>
        </w:rPr>
        <w:t xml:space="preserve">4.4 </w:t>
      </w:r>
      <w:r>
        <w:rPr>
          <w:bCs/>
          <w:color w:val="231F20"/>
          <w:sz w:val="24"/>
          <w:szCs w:val="24"/>
        </w:rPr>
        <w:t xml:space="preserve">O </w:t>
      </w:r>
      <w:r>
        <w:rPr>
          <w:sz w:val="24"/>
          <w:szCs w:val="24"/>
        </w:rPr>
        <w:t>fornecedor</w:t>
      </w:r>
      <w:r>
        <w:rPr>
          <w:bCs/>
          <w:color w:val="231F20"/>
          <w:sz w:val="24"/>
          <w:szCs w:val="24"/>
        </w:rPr>
        <w:t xml:space="preserve"> poderá optar pela aceitação ou não do fornecimento decorrente da adesão, d</w:t>
      </w:r>
      <w:r>
        <w:rPr>
          <w:color w:val="231F20"/>
          <w:sz w:val="24"/>
          <w:szCs w:val="24"/>
        </w:rPr>
        <w:t xml:space="preserve">esde que não prejudique as obrigações presentes e futuras derivadas da Ata, assumidas com o </w:t>
      </w:r>
      <w:r>
        <w:rPr>
          <w:bCs/>
          <w:sz w:val="24"/>
          <w:szCs w:val="24"/>
        </w:rPr>
        <w:t>gerenciador e os participantes, quando houver.</w:t>
      </w:r>
    </w:p>
    <w:p w14:paraId="25226CB4">
      <w:pPr>
        <w:autoSpaceDE w:val="0"/>
        <w:autoSpaceDN w:val="0"/>
        <w:adjustRightInd w:val="0"/>
        <w:spacing w:line="288" w:lineRule="auto"/>
        <w:contextualSpacing/>
        <w:jc w:val="both"/>
        <w:rPr>
          <w:bCs/>
          <w:color w:val="231F20"/>
          <w:sz w:val="24"/>
          <w:szCs w:val="24"/>
        </w:rPr>
      </w:pPr>
    </w:p>
    <w:p w14:paraId="34B0F861">
      <w:pPr>
        <w:autoSpaceDE w:val="0"/>
        <w:autoSpaceDN w:val="0"/>
        <w:adjustRightInd w:val="0"/>
        <w:spacing w:line="288" w:lineRule="auto"/>
        <w:contextualSpacing/>
        <w:jc w:val="both"/>
        <w:rPr>
          <w:bCs/>
          <w:sz w:val="24"/>
          <w:szCs w:val="24"/>
        </w:rPr>
      </w:pPr>
      <w:r>
        <w:rPr>
          <w:bCs/>
          <w:color w:val="231F20"/>
          <w:sz w:val="24"/>
          <w:szCs w:val="24"/>
        </w:rPr>
        <w:t xml:space="preserve">4.5 </w:t>
      </w:r>
      <w:r>
        <w:rPr>
          <w:color w:val="231F20"/>
          <w:sz w:val="24"/>
          <w:szCs w:val="24"/>
        </w:rPr>
        <w:t xml:space="preserve">Após a autorização do </w:t>
      </w:r>
      <w:r>
        <w:rPr>
          <w:bCs/>
          <w:sz w:val="24"/>
          <w:szCs w:val="24"/>
        </w:rPr>
        <w:t xml:space="preserve">gerenciador, o </w:t>
      </w:r>
      <w:r>
        <w:rPr>
          <w:bCs/>
          <w:color w:val="231F20"/>
          <w:sz w:val="24"/>
          <w:szCs w:val="24"/>
        </w:rPr>
        <w:t>não-participante deverá efetivar a contratação solicitada em até 90 (noventa) dias, observado o prazo de vigência da Ata</w:t>
      </w:r>
      <w:r>
        <w:rPr>
          <w:bCs/>
          <w:sz w:val="24"/>
          <w:szCs w:val="24"/>
        </w:rPr>
        <w:t xml:space="preserve">. </w:t>
      </w:r>
    </w:p>
    <w:p w14:paraId="0435638E">
      <w:pPr>
        <w:autoSpaceDE w:val="0"/>
        <w:autoSpaceDN w:val="0"/>
        <w:adjustRightInd w:val="0"/>
        <w:spacing w:line="288" w:lineRule="auto"/>
        <w:contextualSpacing/>
        <w:jc w:val="both"/>
        <w:rPr>
          <w:sz w:val="24"/>
          <w:szCs w:val="24"/>
        </w:rPr>
      </w:pPr>
    </w:p>
    <w:p w14:paraId="0F38E88D">
      <w:pPr>
        <w:autoSpaceDE w:val="0"/>
        <w:autoSpaceDN w:val="0"/>
        <w:adjustRightInd w:val="0"/>
        <w:spacing w:line="288" w:lineRule="auto"/>
        <w:contextualSpacing/>
        <w:jc w:val="both"/>
        <w:rPr>
          <w:sz w:val="24"/>
          <w:szCs w:val="24"/>
        </w:rPr>
      </w:pPr>
      <w:r>
        <w:rPr>
          <w:sz w:val="24"/>
          <w:szCs w:val="24"/>
        </w:rPr>
        <w:t xml:space="preserve">4.5.1 O prazo acima poderá ser prorrogado, excepcionalmente, mediante justificativa e autorização pelo gerenciador, e requerimento do </w:t>
      </w:r>
      <w:r>
        <w:rPr>
          <w:bCs/>
          <w:color w:val="231F20"/>
          <w:sz w:val="24"/>
          <w:szCs w:val="24"/>
        </w:rPr>
        <w:t>não-participante</w:t>
      </w:r>
      <w:r>
        <w:rPr>
          <w:sz w:val="24"/>
          <w:szCs w:val="24"/>
        </w:rPr>
        <w:t>, respeitado o prazo de vigência da Ata de Registro de Preços.</w:t>
      </w:r>
    </w:p>
    <w:p w14:paraId="153E11E9">
      <w:pPr>
        <w:autoSpaceDE w:val="0"/>
        <w:autoSpaceDN w:val="0"/>
        <w:adjustRightInd w:val="0"/>
        <w:spacing w:line="288" w:lineRule="auto"/>
        <w:contextualSpacing/>
        <w:jc w:val="both"/>
        <w:rPr>
          <w:sz w:val="24"/>
          <w:szCs w:val="24"/>
        </w:rPr>
      </w:pPr>
    </w:p>
    <w:p w14:paraId="0941E353">
      <w:pPr>
        <w:autoSpaceDE w:val="0"/>
        <w:autoSpaceDN w:val="0"/>
        <w:adjustRightInd w:val="0"/>
        <w:spacing w:line="288" w:lineRule="auto"/>
        <w:contextualSpacing/>
        <w:jc w:val="both"/>
        <w:rPr>
          <w:sz w:val="24"/>
          <w:szCs w:val="24"/>
        </w:rPr>
      </w:pPr>
      <w:r>
        <w:rPr>
          <w:sz w:val="24"/>
          <w:szCs w:val="24"/>
        </w:rPr>
        <w:t>4.6 São atribuições dos não-participantes:</w:t>
      </w:r>
    </w:p>
    <w:p w14:paraId="3FBAAC29">
      <w:pPr>
        <w:autoSpaceDE w:val="0"/>
        <w:autoSpaceDN w:val="0"/>
        <w:adjustRightInd w:val="0"/>
        <w:spacing w:line="288" w:lineRule="auto"/>
        <w:contextualSpacing/>
        <w:jc w:val="both"/>
        <w:rPr>
          <w:sz w:val="24"/>
          <w:szCs w:val="24"/>
        </w:rPr>
      </w:pPr>
    </w:p>
    <w:p w14:paraId="776B85E5">
      <w:pPr>
        <w:autoSpaceDE w:val="0"/>
        <w:autoSpaceDN w:val="0"/>
        <w:adjustRightInd w:val="0"/>
        <w:spacing w:line="288" w:lineRule="auto"/>
        <w:contextualSpacing/>
        <w:jc w:val="both"/>
        <w:rPr>
          <w:b/>
          <w:bCs/>
          <w:color w:val="231F20"/>
          <w:sz w:val="24"/>
          <w:szCs w:val="24"/>
        </w:rPr>
      </w:pPr>
      <w:r>
        <w:rPr>
          <w:bCs/>
          <w:color w:val="231F20"/>
          <w:sz w:val="24"/>
          <w:szCs w:val="24"/>
        </w:rPr>
        <w:t>a)</w:t>
      </w:r>
      <w:r>
        <w:rPr>
          <w:b/>
          <w:color w:val="231F20"/>
          <w:sz w:val="24"/>
          <w:szCs w:val="24"/>
        </w:rPr>
        <w:t xml:space="preserve"> </w:t>
      </w:r>
      <w:r>
        <w:rPr>
          <w:bCs/>
          <w:color w:val="231F20"/>
          <w:sz w:val="24"/>
          <w:szCs w:val="24"/>
        </w:rPr>
        <w:t>aceitar todas as condições fixadas na Ata de Registro de Preços;</w:t>
      </w:r>
    </w:p>
    <w:p w14:paraId="72FC9CB2">
      <w:pPr>
        <w:autoSpaceDE w:val="0"/>
        <w:autoSpaceDN w:val="0"/>
        <w:adjustRightInd w:val="0"/>
        <w:spacing w:line="288" w:lineRule="auto"/>
        <w:contextualSpacing/>
        <w:jc w:val="both"/>
        <w:rPr>
          <w:bCs/>
          <w:color w:val="231F20"/>
          <w:sz w:val="24"/>
          <w:szCs w:val="24"/>
        </w:rPr>
      </w:pPr>
    </w:p>
    <w:p w14:paraId="60145844">
      <w:pPr>
        <w:spacing w:line="288" w:lineRule="auto"/>
        <w:contextualSpacing/>
        <w:jc w:val="both"/>
        <w:rPr>
          <w:sz w:val="24"/>
          <w:szCs w:val="24"/>
        </w:rPr>
      </w:pPr>
      <w:r>
        <w:rPr>
          <w:bCs/>
          <w:color w:val="231F20"/>
          <w:sz w:val="24"/>
          <w:szCs w:val="24"/>
        </w:rPr>
        <w:t xml:space="preserve">b) </w:t>
      </w:r>
      <w:r>
        <w:rPr>
          <w:sz w:val="24"/>
          <w:szCs w:val="24"/>
        </w:rPr>
        <w:t xml:space="preserve">tomar conhecimento da Ata de Registro de Preços, inclusive de eventuais alterações, para o correto cumprimento de suas disposições; </w:t>
      </w:r>
    </w:p>
    <w:p w14:paraId="078B0F6F">
      <w:pPr>
        <w:spacing w:line="288" w:lineRule="auto"/>
        <w:contextualSpacing/>
        <w:jc w:val="both"/>
        <w:rPr>
          <w:sz w:val="24"/>
          <w:szCs w:val="24"/>
        </w:rPr>
      </w:pPr>
    </w:p>
    <w:p w14:paraId="7CDBC9EC">
      <w:pPr>
        <w:spacing w:line="288" w:lineRule="auto"/>
        <w:contextualSpacing/>
        <w:jc w:val="both"/>
        <w:rPr>
          <w:sz w:val="24"/>
          <w:szCs w:val="24"/>
        </w:rPr>
      </w:pPr>
      <w:r>
        <w:rPr>
          <w:sz w:val="24"/>
          <w:szCs w:val="24"/>
        </w:rPr>
        <w:t xml:space="preserve">c) prestar informações, quando solicitadas, ao gerenciador quanto à contratação e à execução da demanda destinada ao seu órgão ou entidade; </w:t>
      </w:r>
    </w:p>
    <w:p w14:paraId="16DE5035">
      <w:pPr>
        <w:spacing w:line="288" w:lineRule="auto"/>
        <w:contextualSpacing/>
        <w:jc w:val="both"/>
        <w:rPr>
          <w:sz w:val="24"/>
          <w:szCs w:val="24"/>
        </w:rPr>
      </w:pPr>
    </w:p>
    <w:p w14:paraId="69B7C343">
      <w:pPr>
        <w:spacing w:line="288" w:lineRule="auto"/>
        <w:contextualSpacing/>
        <w:jc w:val="both"/>
        <w:rPr>
          <w:sz w:val="24"/>
          <w:szCs w:val="24"/>
        </w:rPr>
      </w:pPr>
      <w:r>
        <w:rPr>
          <w:sz w:val="24"/>
          <w:szCs w:val="24"/>
        </w:rPr>
        <w:t>d) informar ao gerenciador a eventual recusa do contratado em atender às condições estabelecidas no instrumento convocatório, quando houver,</w:t>
      </w:r>
      <w:r>
        <w:rPr>
          <w:rFonts w:eastAsia="Arial"/>
          <w:sz w:val="24"/>
          <w:szCs w:val="24"/>
        </w:rPr>
        <w:t xml:space="preserve"> e no Termo de Referência</w:t>
      </w:r>
      <w:r>
        <w:rPr>
          <w:sz w:val="24"/>
          <w:szCs w:val="24"/>
        </w:rPr>
        <w:t xml:space="preserve">, firmadas na Ata de Registro de Preços, bem como as divergências relativas à entrega, características e origem dos bens adjudicados; e </w:t>
      </w:r>
    </w:p>
    <w:p w14:paraId="49CAE284">
      <w:pPr>
        <w:spacing w:line="288" w:lineRule="auto"/>
        <w:contextualSpacing/>
        <w:jc w:val="both"/>
        <w:rPr>
          <w:sz w:val="24"/>
          <w:szCs w:val="24"/>
        </w:rPr>
      </w:pPr>
    </w:p>
    <w:p w14:paraId="0760C17E">
      <w:pPr>
        <w:spacing w:line="288" w:lineRule="auto"/>
        <w:contextualSpacing/>
        <w:jc w:val="both"/>
        <w:rPr>
          <w:rFonts w:eastAsia="Arial"/>
          <w:b/>
          <w:sz w:val="24"/>
          <w:szCs w:val="24"/>
        </w:rPr>
      </w:pPr>
      <w:r>
        <w:rPr>
          <w:sz w:val="24"/>
          <w:szCs w:val="24"/>
        </w:rPr>
        <w:t>e) promover a correta gestão, fiscalização e execução contratual, nos termos do Capítulo VI do Título III da Lei nº 14.133/2021, e o disposto no Decreto nº 40/2025, no Termo de Referência e no contrato, com relação às suas próprias contratações.</w:t>
      </w:r>
    </w:p>
    <w:p w14:paraId="25EBA297">
      <w:pPr>
        <w:autoSpaceDE w:val="0"/>
        <w:autoSpaceDN w:val="0"/>
        <w:adjustRightInd w:val="0"/>
        <w:spacing w:line="288" w:lineRule="auto"/>
        <w:contextualSpacing/>
        <w:jc w:val="both"/>
        <w:rPr>
          <w:sz w:val="24"/>
          <w:szCs w:val="24"/>
        </w:rPr>
      </w:pPr>
    </w:p>
    <w:p w14:paraId="5BC94DF3">
      <w:pPr>
        <w:spacing w:line="288" w:lineRule="auto"/>
        <w:contextualSpacing/>
        <w:jc w:val="both"/>
        <w:rPr>
          <w:rFonts w:eastAsia="Arial"/>
          <w:b/>
          <w:sz w:val="24"/>
          <w:szCs w:val="24"/>
        </w:rPr>
      </w:pPr>
      <w:r>
        <w:rPr>
          <w:b/>
          <w:bCs/>
          <w:sz w:val="24"/>
          <w:szCs w:val="24"/>
        </w:rPr>
        <w:t>CLÁUSULA QUINTA:</w:t>
      </w:r>
      <w:r>
        <w:rPr>
          <w:sz w:val="24"/>
          <w:szCs w:val="24"/>
        </w:rPr>
        <w:t xml:space="preserve"> </w:t>
      </w:r>
      <w:r>
        <w:rPr>
          <w:rFonts w:eastAsia="Arial"/>
          <w:b/>
          <w:sz w:val="24"/>
          <w:szCs w:val="24"/>
        </w:rPr>
        <w:t xml:space="preserve">DO QUANTITATIVO </w:t>
      </w:r>
    </w:p>
    <w:p w14:paraId="54C04DF9">
      <w:pPr>
        <w:spacing w:line="288" w:lineRule="auto"/>
        <w:contextualSpacing/>
        <w:jc w:val="both"/>
        <w:rPr>
          <w:sz w:val="24"/>
          <w:szCs w:val="24"/>
        </w:rPr>
      </w:pPr>
    </w:p>
    <w:p w14:paraId="707C3C78">
      <w:pPr>
        <w:spacing w:line="288" w:lineRule="auto"/>
        <w:contextualSpacing/>
        <w:jc w:val="both"/>
        <w:rPr>
          <w:sz w:val="24"/>
          <w:szCs w:val="24"/>
        </w:rPr>
      </w:pPr>
      <w:r>
        <w:rPr>
          <w:sz w:val="24"/>
          <w:szCs w:val="24"/>
        </w:rPr>
        <w:t xml:space="preserve">5.1 As quantidades estimadas para a contratação, conforme descrição no Termo de Referência e reunidas no Anexo I – Consolidação das Informações da Ata de Registro de Preços, são as seguintes: </w:t>
      </w:r>
    </w:p>
    <w:p w14:paraId="6928C0D3">
      <w:pPr>
        <w:spacing w:line="288" w:lineRule="auto"/>
        <w:contextualSpacing/>
        <w:jc w:val="both"/>
        <w:rPr>
          <w:sz w:val="24"/>
          <w:szCs w:val="24"/>
        </w:rPr>
      </w:pPr>
    </w:p>
    <w:p w14:paraId="5B7A5AF5">
      <w:pPr>
        <w:spacing w:line="288" w:lineRule="auto"/>
        <w:contextualSpacing/>
        <w:jc w:val="both"/>
        <w:rPr>
          <w:rFonts w:eastAsia="Arial"/>
          <w:sz w:val="24"/>
          <w:szCs w:val="24"/>
        </w:rPr>
      </w:pPr>
      <w:r>
        <w:rPr>
          <w:sz w:val="24"/>
          <w:szCs w:val="24"/>
        </w:rPr>
        <w:t xml:space="preserve">a) previsão de contratação pelo </w:t>
      </w:r>
      <w:r>
        <w:rPr>
          <w:bCs/>
          <w:sz w:val="24"/>
          <w:szCs w:val="24"/>
        </w:rPr>
        <w:t xml:space="preserve">gerenciador e pelos </w:t>
      </w:r>
      <w:r>
        <w:rPr>
          <w:rFonts w:eastAsia="Arial"/>
          <w:bCs/>
          <w:sz w:val="24"/>
          <w:szCs w:val="24"/>
        </w:rPr>
        <w:t>participantes, em conformidade com disposto na lei nº 14133/2021</w:t>
      </w:r>
      <w:r>
        <w:rPr>
          <w:rFonts w:eastAsia="Arial"/>
          <w:sz w:val="24"/>
          <w:szCs w:val="24"/>
        </w:rPr>
        <w:t>.</w:t>
      </w:r>
    </w:p>
    <w:p w14:paraId="00004FF6">
      <w:pPr>
        <w:spacing w:line="288" w:lineRule="auto"/>
        <w:contextualSpacing/>
        <w:jc w:val="both"/>
        <w:rPr>
          <w:rFonts w:eastAsia="Arial"/>
          <w:sz w:val="24"/>
          <w:szCs w:val="24"/>
        </w:rPr>
      </w:pPr>
    </w:p>
    <w:p w14:paraId="27083383">
      <w:pPr>
        <w:spacing w:line="288" w:lineRule="auto"/>
        <w:contextualSpacing/>
        <w:jc w:val="both"/>
        <w:rPr>
          <w:rFonts w:eastAsia="Arial"/>
          <w:bCs/>
          <w:sz w:val="24"/>
          <w:szCs w:val="24"/>
        </w:rPr>
      </w:pPr>
      <w:r>
        <w:rPr>
          <w:rFonts w:eastAsia="Arial"/>
          <w:sz w:val="24"/>
          <w:szCs w:val="24"/>
        </w:rPr>
        <w:t xml:space="preserve">b) </w:t>
      </w:r>
      <w:r>
        <w:rPr>
          <w:sz w:val="24"/>
          <w:szCs w:val="24"/>
        </w:rPr>
        <w:t xml:space="preserve">previsão de contratação pelos </w:t>
      </w:r>
      <w:r>
        <w:rPr>
          <w:bCs/>
          <w:color w:val="231F20"/>
          <w:sz w:val="24"/>
          <w:szCs w:val="24"/>
        </w:rPr>
        <w:t>não-participantes,</w:t>
      </w:r>
      <w:r>
        <w:rPr>
          <w:rFonts w:eastAsia="Arial"/>
          <w:bCs/>
          <w:sz w:val="24"/>
          <w:szCs w:val="24"/>
        </w:rPr>
        <w:t xml:space="preserve"> em conformidade com disposto na lei nº 14133/2021.</w:t>
      </w:r>
    </w:p>
    <w:p w14:paraId="00ACE357">
      <w:pPr>
        <w:spacing w:line="288" w:lineRule="auto"/>
        <w:contextualSpacing/>
        <w:jc w:val="both"/>
        <w:rPr>
          <w:rFonts w:eastAsia="Arial"/>
          <w:sz w:val="24"/>
          <w:szCs w:val="24"/>
        </w:rPr>
      </w:pPr>
    </w:p>
    <w:p w14:paraId="039A2B18">
      <w:pPr>
        <w:autoSpaceDE w:val="0"/>
        <w:autoSpaceDN w:val="0"/>
        <w:adjustRightInd w:val="0"/>
        <w:spacing w:line="288" w:lineRule="auto"/>
        <w:contextualSpacing/>
        <w:jc w:val="both"/>
        <w:rPr>
          <w:rFonts w:eastAsia="Arial"/>
          <w:sz w:val="24"/>
          <w:szCs w:val="24"/>
        </w:rPr>
      </w:pPr>
      <w:r>
        <w:rPr>
          <w:bCs/>
          <w:sz w:val="24"/>
          <w:szCs w:val="24"/>
        </w:rPr>
        <w:t>5.2</w:t>
      </w:r>
      <w:r>
        <w:rPr>
          <w:sz w:val="24"/>
          <w:szCs w:val="24"/>
        </w:rPr>
        <w:t xml:space="preserve"> </w:t>
      </w:r>
      <w:r>
        <w:rPr>
          <w:rFonts w:eastAsia="Arial"/>
          <w:sz w:val="24"/>
          <w:szCs w:val="24"/>
        </w:rPr>
        <w:t xml:space="preserve">As quantidades dos itens indicadas nas alíneas a e b do item 5.1 são meramente estimativas e não implicam obrigatoriedade de contratação </w:t>
      </w:r>
      <w:r>
        <w:rPr>
          <w:sz w:val="24"/>
          <w:szCs w:val="24"/>
        </w:rPr>
        <w:t xml:space="preserve">pelo gerenciador e pelos </w:t>
      </w:r>
      <w:r>
        <w:rPr>
          <w:rFonts w:eastAsia="Arial"/>
          <w:sz w:val="24"/>
          <w:szCs w:val="24"/>
        </w:rPr>
        <w:t>participantes, quando houver, durante a vigência da Ata de Registro de Preços.</w:t>
      </w:r>
    </w:p>
    <w:p w14:paraId="4C73EAD2">
      <w:pPr>
        <w:autoSpaceDE w:val="0"/>
        <w:autoSpaceDN w:val="0"/>
        <w:adjustRightInd w:val="0"/>
        <w:spacing w:line="288" w:lineRule="auto"/>
        <w:contextualSpacing/>
        <w:jc w:val="both"/>
        <w:rPr>
          <w:rFonts w:eastAsia="Arial"/>
          <w:sz w:val="24"/>
          <w:szCs w:val="24"/>
        </w:rPr>
      </w:pPr>
    </w:p>
    <w:p w14:paraId="16045AFB">
      <w:pPr>
        <w:autoSpaceDE w:val="0"/>
        <w:autoSpaceDN w:val="0"/>
        <w:adjustRightInd w:val="0"/>
        <w:spacing w:line="288" w:lineRule="auto"/>
        <w:contextualSpacing/>
        <w:jc w:val="both"/>
        <w:rPr>
          <w:sz w:val="24"/>
          <w:szCs w:val="24"/>
        </w:rPr>
      </w:pPr>
      <w:r>
        <w:rPr>
          <w:sz w:val="24"/>
          <w:szCs w:val="24"/>
        </w:rPr>
        <w:t>5.3 As contratações adicionais de que trata o item 4 não poderão exceder, por órgão ou entidade aderente, conforme estipulado no decreto Municipal n° 46/2025, art.33,</w:t>
      </w:r>
      <w:r>
        <w:rPr>
          <w:bCs/>
          <w:sz w:val="24"/>
          <w:szCs w:val="24"/>
        </w:rPr>
        <w:t xml:space="preserve"> </w:t>
      </w:r>
      <w:r>
        <w:rPr>
          <w:sz w:val="24"/>
          <w:szCs w:val="24"/>
        </w:rPr>
        <w:t xml:space="preserve">dos quantitativos dos itens registrados na Ata de Registro de Preços para o gerenciador e para os </w:t>
      </w:r>
      <w:r>
        <w:rPr>
          <w:rFonts w:eastAsia="Arial"/>
          <w:sz w:val="24"/>
          <w:szCs w:val="24"/>
        </w:rPr>
        <w:t>participantes, quando houver</w:t>
      </w:r>
      <w:r>
        <w:rPr>
          <w:sz w:val="24"/>
          <w:szCs w:val="24"/>
        </w:rPr>
        <w:t xml:space="preserve">. </w:t>
      </w:r>
    </w:p>
    <w:p w14:paraId="40231DDC">
      <w:pPr>
        <w:autoSpaceDE w:val="0"/>
        <w:autoSpaceDN w:val="0"/>
        <w:adjustRightInd w:val="0"/>
        <w:spacing w:line="288" w:lineRule="auto"/>
        <w:contextualSpacing/>
        <w:jc w:val="both"/>
        <w:rPr>
          <w:sz w:val="24"/>
          <w:szCs w:val="24"/>
        </w:rPr>
      </w:pPr>
    </w:p>
    <w:p w14:paraId="1E3D5020">
      <w:pPr>
        <w:autoSpaceDE w:val="0"/>
        <w:autoSpaceDN w:val="0"/>
        <w:adjustRightInd w:val="0"/>
        <w:spacing w:line="288" w:lineRule="auto"/>
        <w:contextualSpacing/>
        <w:jc w:val="both"/>
        <w:rPr>
          <w:bCs/>
          <w:color w:val="231F20"/>
          <w:sz w:val="24"/>
          <w:szCs w:val="24"/>
        </w:rPr>
      </w:pPr>
      <w:r>
        <w:rPr>
          <w:sz w:val="24"/>
          <w:szCs w:val="24"/>
        </w:rPr>
        <w:t xml:space="preserve">5.3.1 O quantitativo decorrente das adesões à Ata de Registro de Preços não poderá exceder, na totalidade, </w:t>
      </w:r>
      <w:r>
        <w:rPr>
          <w:bCs/>
          <w:sz w:val="24"/>
          <w:szCs w:val="24"/>
        </w:rPr>
        <w:t xml:space="preserve">ao limite </w:t>
      </w:r>
      <w:r>
        <w:rPr>
          <w:sz w:val="24"/>
          <w:szCs w:val="24"/>
        </w:rPr>
        <w:t>estipulado no decreto Municipal n° 46/2025, art.33</w:t>
      </w:r>
      <w:r>
        <w:rPr>
          <w:bCs/>
          <w:sz w:val="24"/>
          <w:szCs w:val="24"/>
        </w:rPr>
        <w:t xml:space="preserve"> </w:t>
      </w:r>
      <w:r>
        <w:rPr>
          <w:sz w:val="24"/>
          <w:szCs w:val="24"/>
        </w:rPr>
        <w:t xml:space="preserve">do quantitativo de cada item registrado nesta Ata para o gerenciador e pelos </w:t>
      </w:r>
      <w:r>
        <w:rPr>
          <w:rFonts w:eastAsia="Arial"/>
          <w:sz w:val="24"/>
          <w:szCs w:val="24"/>
        </w:rPr>
        <w:t>participantes</w:t>
      </w:r>
      <w:r>
        <w:rPr>
          <w:sz w:val="24"/>
          <w:szCs w:val="24"/>
        </w:rPr>
        <w:t>, quando houver, independentemente do número de órgãos ou entidades não-participantes que aderirem.</w:t>
      </w:r>
    </w:p>
    <w:p w14:paraId="31378EE1">
      <w:pPr>
        <w:spacing w:line="288" w:lineRule="auto"/>
        <w:contextualSpacing/>
        <w:jc w:val="both"/>
        <w:rPr>
          <w:sz w:val="24"/>
          <w:szCs w:val="24"/>
        </w:rPr>
      </w:pPr>
    </w:p>
    <w:p w14:paraId="3B710A81">
      <w:pPr>
        <w:spacing w:line="288" w:lineRule="auto"/>
        <w:ind w:right="49"/>
        <w:contextualSpacing/>
        <w:jc w:val="both"/>
        <w:rPr>
          <w:color w:val="231F20"/>
          <w:sz w:val="24"/>
          <w:szCs w:val="24"/>
        </w:rPr>
      </w:pPr>
      <w:r>
        <w:rPr>
          <w:sz w:val="24"/>
          <w:szCs w:val="24"/>
        </w:rPr>
        <w:t>5.4 É vedado efetuar acréscimos nos quantitativos fixados na Ata de Registro de Preços, inclusive o acréscimo de que trata o art. 125 da Lei nº 14.133/2021.</w:t>
      </w:r>
    </w:p>
    <w:p w14:paraId="7AACDC9D">
      <w:pPr>
        <w:spacing w:line="288" w:lineRule="auto"/>
        <w:contextualSpacing/>
        <w:jc w:val="both"/>
        <w:rPr>
          <w:b/>
          <w:sz w:val="24"/>
          <w:szCs w:val="24"/>
        </w:rPr>
      </w:pPr>
    </w:p>
    <w:p w14:paraId="54986680">
      <w:pPr>
        <w:spacing w:line="288" w:lineRule="auto"/>
        <w:contextualSpacing/>
        <w:jc w:val="both"/>
        <w:rPr>
          <w:rFonts w:eastAsia="Arial"/>
          <w:b/>
          <w:sz w:val="24"/>
          <w:szCs w:val="24"/>
        </w:rPr>
      </w:pPr>
      <w:r>
        <w:rPr>
          <w:bCs/>
          <w:sz w:val="24"/>
          <w:szCs w:val="24"/>
        </w:rPr>
        <w:t xml:space="preserve">5.5 </w:t>
      </w:r>
      <w:r>
        <w:rPr>
          <w:sz w:val="24"/>
          <w:szCs w:val="24"/>
        </w:rPr>
        <w:t xml:space="preserve">As quantidades previstas na Ata de Registro de Preços para os itens com preços registrados poderão ser remanejadas, pelo </w:t>
      </w:r>
      <w:r>
        <w:rPr>
          <w:bCs/>
          <w:sz w:val="24"/>
          <w:szCs w:val="24"/>
        </w:rPr>
        <w:t>gerenciador</w:t>
      </w:r>
      <w:r>
        <w:rPr>
          <w:sz w:val="24"/>
          <w:szCs w:val="24"/>
        </w:rPr>
        <w:t xml:space="preserve">, entre os </w:t>
      </w:r>
      <w:r>
        <w:rPr>
          <w:rFonts w:eastAsia="Arial"/>
          <w:sz w:val="24"/>
          <w:szCs w:val="24"/>
        </w:rPr>
        <w:t>participantes</w:t>
      </w:r>
      <w:r>
        <w:rPr>
          <w:sz w:val="24"/>
          <w:szCs w:val="24"/>
        </w:rPr>
        <w:t xml:space="preserve"> do procedimento para registro de preços, quando houver. </w:t>
      </w:r>
    </w:p>
    <w:p w14:paraId="75A112E4">
      <w:pPr>
        <w:spacing w:line="288" w:lineRule="auto"/>
        <w:contextualSpacing/>
        <w:jc w:val="both"/>
        <w:rPr>
          <w:sz w:val="24"/>
          <w:szCs w:val="24"/>
        </w:rPr>
      </w:pPr>
    </w:p>
    <w:p w14:paraId="3F5E9F3A">
      <w:pPr>
        <w:spacing w:line="288" w:lineRule="auto"/>
        <w:contextualSpacing/>
        <w:jc w:val="both"/>
        <w:rPr>
          <w:rFonts w:eastAsia="Arial"/>
          <w:b/>
          <w:sz w:val="24"/>
          <w:szCs w:val="24"/>
        </w:rPr>
      </w:pPr>
      <w:r>
        <w:rPr>
          <w:bCs/>
          <w:sz w:val="24"/>
          <w:szCs w:val="24"/>
        </w:rPr>
        <w:t xml:space="preserve">5.5.1 </w:t>
      </w:r>
      <w:r>
        <w:rPr>
          <w:sz w:val="24"/>
          <w:szCs w:val="24"/>
        </w:rPr>
        <w:t xml:space="preserve">Caberá ao gerenciador autorizar o remanejamento, com a transferência dos quantitativos entre os </w:t>
      </w:r>
      <w:r>
        <w:rPr>
          <w:rFonts w:eastAsia="Arial"/>
          <w:sz w:val="24"/>
          <w:szCs w:val="24"/>
        </w:rPr>
        <w:t>participantes</w:t>
      </w:r>
      <w:r>
        <w:rPr>
          <w:sz w:val="24"/>
          <w:szCs w:val="24"/>
        </w:rPr>
        <w:t xml:space="preserve">, desde que haja anuência daquele que vier a sofrer a redução dos quantitativos informados. </w:t>
      </w:r>
    </w:p>
    <w:p w14:paraId="2C0F4B37">
      <w:pPr>
        <w:autoSpaceDE w:val="0"/>
        <w:autoSpaceDN w:val="0"/>
        <w:adjustRightInd w:val="0"/>
        <w:spacing w:line="288" w:lineRule="auto"/>
        <w:contextualSpacing/>
        <w:jc w:val="both"/>
        <w:rPr>
          <w:color w:val="231F20"/>
          <w:sz w:val="24"/>
          <w:szCs w:val="24"/>
        </w:rPr>
      </w:pPr>
    </w:p>
    <w:p w14:paraId="61C539F8">
      <w:pPr>
        <w:spacing w:line="288" w:lineRule="auto"/>
        <w:contextualSpacing/>
        <w:jc w:val="both"/>
        <w:rPr>
          <w:rFonts w:eastAsia="Arial"/>
          <w:b/>
          <w:sz w:val="24"/>
          <w:szCs w:val="24"/>
        </w:rPr>
      </w:pPr>
      <w:r>
        <w:rPr>
          <w:rFonts w:eastAsia="Arial"/>
          <w:b/>
          <w:sz w:val="24"/>
          <w:szCs w:val="24"/>
        </w:rPr>
        <w:t>CLÁUSULA SEXTA: DO PREÇO REGISTRADO</w:t>
      </w:r>
    </w:p>
    <w:p w14:paraId="664DD9C0">
      <w:pPr>
        <w:spacing w:line="288" w:lineRule="auto"/>
        <w:contextualSpacing/>
        <w:jc w:val="both"/>
        <w:rPr>
          <w:rFonts w:eastAsia="Arial"/>
          <w:sz w:val="24"/>
          <w:szCs w:val="24"/>
        </w:rPr>
      </w:pPr>
    </w:p>
    <w:p w14:paraId="53A781DA">
      <w:pPr>
        <w:spacing w:line="288" w:lineRule="auto"/>
        <w:contextualSpacing/>
        <w:jc w:val="both"/>
        <w:rPr>
          <w:sz w:val="24"/>
          <w:szCs w:val="24"/>
        </w:rPr>
      </w:pPr>
      <w:r>
        <w:rPr>
          <w:rFonts w:eastAsia="Arial"/>
          <w:sz w:val="24"/>
          <w:szCs w:val="24"/>
        </w:rPr>
        <w:t xml:space="preserve">6.1 O preço unitário de cada item registrado é o constante da(s) proposta(s) final(is), cujos valores estão reunidos </w:t>
      </w:r>
      <w:r>
        <w:rPr>
          <w:sz w:val="24"/>
          <w:szCs w:val="24"/>
        </w:rPr>
        <w:t xml:space="preserve">no Anexo I – Consolidação das Informações da Ata de Registro de Preços. </w:t>
      </w:r>
    </w:p>
    <w:p w14:paraId="5C2D5FA3">
      <w:pPr>
        <w:autoSpaceDE w:val="0"/>
        <w:autoSpaceDN w:val="0"/>
        <w:adjustRightInd w:val="0"/>
        <w:spacing w:line="288" w:lineRule="auto"/>
        <w:contextualSpacing/>
        <w:jc w:val="both"/>
        <w:rPr>
          <w:color w:val="231F20"/>
          <w:sz w:val="24"/>
          <w:szCs w:val="24"/>
        </w:rPr>
      </w:pPr>
    </w:p>
    <w:p w14:paraId="53BAC914">
      <w:pPr>
        <w:spacing w:line="288" w:lineRule="auto"/>
        <w:contextualSpacing/>
        <w:jc w:val="both"/>
        <w:rPr>
          <w:color w:val="231F20"/>
          <w:sz w:val="24"/>
          <w:szCs w:val="24"/>
        </w:rPr>
      </w:pPr>
      <w:r>
        <w:rPr>
          <w:bCs/>
          <w:sz w:val="24"/>
          <w:szCs w:val="24"/>
        </w:rPr>
        <w:t xml:space="preserve">6.2 </w:t>
      </w:r>
      <w:r>
        <w:rPr>
          <w:color w:val="231F20"/>
          <w:sz w:val="24"/>
          <w:szCs w:val="24"/>
        </w:rPr>
        <w:t xml:space="preserve">Os preços registrados poderão ser revistos e alterados </w:t>
      </w:r>
      <w:bookmarkStart w:id="46" w:name="_Hlk158811219"/>
      <w:r>
        <w:rPr>
          <w:color w:val="231F20"/>
          <w:sz w:val="24"/>
          <w:szCs w:val="24"/>
        </w:rPr>
        <w:t xml:space="preserve">em decorrência de eventual redução dos preços praticados no mercado ou de fato que eleve o custo dos bens, obras ou serviços registrados, </w:t>
      </w:r>
      <w:r>
        <w:rPr>
          <w:sz w:val="24"/>
          <w:szCs w:val="24"/>
        </w:rPr>
        <w:t xml:space="preserve">em caso de força maior, caso fortuito ou fato do príncipe ou em decorrência de fatos imprevisíveis ou previsíveis de consequências incalculáveis, que inviabilizem a execução da ata tal como pactuado, nos termos da alínea d do inciso II do </w:t>
      </w:r>
      <w:r>
        <w:rPr>
          <w:i/>
          <w:iCs/>
          <w:sz w:val="24"/>
          <w:szCs w:val="24"/>
        </w:rPr>
        <w:t>caput</w:t>
      </w:r>
      <w:r>
        <w:rPr>
          <w:sz w:val="24"/>
          <w:szCs w:val="24"/>
        </w:rPr>
        <w:t xml:space="preserve"> do art. 124 da Lei nº 14.133/2021</w:t>
      </w:r>
      <w:r>
        <w:rPr>
          <w:color w:val="231F20"/>
          <w:sz w:val="24"/>
          <w:szCs w:val="24"/>
        </w:rPr>
        <w:t>.</w:t>
      </w:r>
    </w:p>
    <w:bookmarkEnd w:id="46"/>
    <w:p w14:paraId="3FC0EE70">
      <w:pPr>
        <w:autoSpaceDE w:val="0"/>
        <w:autoSpaceDN w:val="0"/>
        <w:adjustRightInd w:val="0"/>
        <w:spacing w:line="288" w:lineRule="auto"/>
        <w:contextualSpacing/>
        <w:jc w:val="both"/>
        <w:rPr>
          <w:b/>
          <w:bCs/>
          <w:color w:val="231F20"/>
          <w:sz w:val="24"/>
          <w:szCs w:val="24"/>
        </w:rPr>
      </w:pPr>
    </w:p>
    <w:p w14:paraId="67882749">
      <w:pPr>
        <w:autoSpaceDE w:val="0"/>
        <w:autoSpaceDN w:val="0"/>
        <w:adjustRightInd w:val="0"/>
        <w:spacing w:line="288" w:lineRule="auto"/>
        <w:contextualSpacing/>
        <w:jc w:val="both"/>
        <w:rPr>
          <w:color w:val="231F20"/>
          <w:sz w:val="24"/>
          <w:szCs w:val="24"/>
        </w:rPr>
      </w:pPr>
      <w:r>
        <w:rPr>
          <w:bCs/>
          <w:sz w:val="24"/>
          <w:szCs w:val="24"/>
        </w:rPr>
        <w:t>6.3</w:t>
      </w:r>
      <w:r>
        <w:rPr>
          <w:sz w:val="24"/>
          <w:szCs w:val="24"/>
        </w:rPr>
        <w:t xml:space="preserve"> Q</w:t>
      </w:r>
      <w:r>
        <w:rPr>
          <w:color w:val="231F20"/>
          <w:sz w:val="24"/>
          <w:szCs w:val="24"/>
        </w:rPr>
        <w:t xml:space="preserve">uando o preço registrado se tornar superior ao preço praticado no mercado por motivo superveniente, o </w:t>
      </w:r>
      <w:r>
        <w:rPr>
          <w:bCs/>
          <w:color w:val="231F20"/>
          <w:sz w:val="24"/>
          <w:szCs w:val="24"/>
        </w:rPr>
        <w:t>gerenciador</w:t>
      </w:r>
      <w:r>
        <w:rPr>
          <w:color w:val="231F20"/>
          <w:sz w:val="24"/>
          <w:szCs w:val="24"/>
        </w:rPr>
        <w:t xml:space="preserve"> convocará o(s) fornecedor(es) para negociar a redução dos preços aos valores praticados pelo mercado, na ordem de classificação.</w:t>
      </w:r>
    </w:p>
    <w:p w14:paraId="6D580B3C">
      <w:pPr>
        <w:autoSpaceDE w:val="0"/>
        <w:autoSpaceDN w:val="0"/>
        <w:adjustRightInd w:val="0"/>
        <w:spacing w:line="288" w:lineRule="auto"/>
        <w:contextualSpacing/>
        <w:jc w:val="both"/>
        <w:rPr>
          <w:b/>
          <w:bCs/>
          <w:color w:val="231F20"/>
          <w:sz w:val="24"/>
          <w:szCs w:val="24"/>
        </w:rPr>
      </w:pPr>
    </w:p>
    <w:p w14:paraId="65B3F654">
      <w:pPr>
        <w:autoSpaceDE w:val="0"/>
        <w:autoSpaceDN w:val="0"/>
        <w:adjustRightInd w:val="0"/>
        <w:spacing w:line="288" w:lineRule="auto"/>
        <w:contextualSpacing/>
        <w:jc w:val="both"/>
        <w:rPr>
          <w:sz w:val="24"/>
          <w:szCs w:val="24"/>
        </w:rPr>
      </w:pPr>
      <w:r>
        <w:rPr>
          <w:sz w:val="24"/>
          <w:szCs w:val="24"/>
        </w:rPr>
        <w:t xml:space="preserve">6.3.1 Caso o(s) </w:t>
      </w:r>
      <w:r>
        <w:rPr>
          <w:color w:val="231F20"/>
          <w:sz w:val="24"/>
          <w:szCs w:val="24"/>
        </w:rPr>
        <w:t>fornecedor(es) cadastrado(s)</w:t>
      </w:r>
      <w:r>
        <w:rPr>
          <w:sz w:val="24"/>
          <w:szCs w:val="24"/>
        </w:rPr>
        <w:t xml:space="preserve"> para o item ou lote não aceite(m) reduzir seu preço ao valor praticado pelo mercado deverá(ão) ser liberado(s) do compromisso assumido, sem aplicação de penalidades administrativas.  </w:t>
      </w:r>
    </w:p>
    <w:p w14:paraId="43FDE655">
      <w:pPr>
        <w:autoSpaceDE w:val="0"/>
        <w:autoSpaceDN w:val="0"/>
        <w:adjustRightInd w:val="0"/>
        <w:spacing w:line="288" w:lineRule="auto"/>
        <w:contextualSpacing/>
        <w:jc w:val="both"/>
        <w:rPr>
          <w:sz w:val="24"/>
          <w:szCs w:val="24"/>
        </w:rPr>
      </w:pPr>
    </w:p>
    <w:p w14:paraId="7E7A2158">
      <w:pPr>
        <w:autoSpaceDE w:val="0"/>
        <w:autoSpaceDN w:val="0"/>
        <w:adjustRightInd w:val="0"/>
        <w:spacing w:line="288" w:lineRule="auto"/>
        <w:contextualSpacing/>
        <w:jc w:val="both"/>
        <w:rPr>
          <w:sz w:val="24"/>
          <w:szCs w:val="24"/>
        </w:rPr>
      </w:pPr>
      <w:r>
        <w:rPr>
          <w:sz w:val="24"/>
          <w:szCs w:val="24"/>
        </w:rPr>
        <w:t xml:space="preserve">6.3.2 Havendo a liberação do(s) </w:t>
      </w:r>
      <w:r>
        <w:rPr>
          <w:color w:val="231F20"/>
          <w:sz w:val="24"/>
          <w:szCs w:val="24"/>
        </w:rPr>
        <w:t>fornecedor(es)</w:t>
      </w:r>
      <w:r>
        <w:rPr>
          <w:sz w:val="24"/>
          <w:szCs w:val="24"/>
        </w:rPr>
        <w:t xml:space="preserve">, nos termos do item 6.3.1, o </w:t>
      </w:r>
      <w:r>
        <w:rPr>
          <w:bCs/>
          <w:color w:val="231F20"/>
          <w:sz w:val="24"/>
          <w:szCs w:val="24"/>
        </w:rPr>
        <w:t>órgão gerenciador</w:t>
      </w:r>
      <w:r>
        <w:rPr>
          <w:sz w:val="24"/>
          <w:szCs w:val="24"/>
        </w:rPr>
        <w:t xml:space="preserve"> deverá convocar os proponentes do Cadastro de Reserva, na ordem de classificação, para verificar se aceitam reduzir seus preços aos valores de mercado, observado o disposto no art. 19, § 3º, do Decreto nº 46/2025. </w:t>
      </w:r>
    </w:p>
    <w:p w14:paraId="2E5E1E56">
      <w:pPr>
        <w:autoSpaceDE w:val="0"/>
        <w:autoSpaceDN w:val="0"/>
        <w:adjustRightInd w:val="0"/>
        <w:spacing w:line="288" w:lineRule="auto"/>
        <w:contextualSpacing/>
        <w:jc w:val="both"/>
        <w:rPr>
          <w:sz w:val="24"/>
          <w:szCs w:val="24"/>
        </w:rPr>
      </w:pPr>
    </w:p>
    <w:p w14:paraId="6BBE9C56">
      <w:pPr>
        <w:autoSpaceDE w:val="0"/>
        <w:autoSpaceDN w:val="0"/>
        <w:adjustRightInd w:val="0"/>
        <w:spacing w:line="288" w:lineRule="auto"/>
        <w:contextualSpacing/>
        <w:jc w:val="both"/>
        <w:rPr>
          <w:sz w:val="24"/>
          <w:szCs w:val="24"/>
        </w:rPr>
      </w:pPr>
      <w:r>
        <w:rPr>
          <w:sz w:val="24"/>
          <w:szCs w:val="24"/>
        </w:rPr>
        <w:t xml:space="preserve">6.3.3 A ordem de classificação dos fornecedores que aceitarem reduzir seus preços aos valores de mercado observará a classificação original. </w:t>
      </w:r>
    </w:p>
    <w:p w14:paraId="0A8079F2">
      <w:pPr>
        <w:autoSpaceDE w:val="0"/>
        <w:autoSpaceDN w:val="0"/>
        <w:adjustRightInd w:val="0"/>
        <w:spacing w:line="288" w:lineRule="auto"/>
        <w:contextualSpacing/>
        <w:jc w:val="both"/>
        <w:rPr>
          <w:sz w:val="24"/>
          <w:szCs w:val="24"/>
        </w:rPr>
      </w:pPr>
    </w:p>
    <w:p w14:paraId="7DD2DF33">
      <w:pPr>
        <w:autoSpaceDE w:val="0"/>
        <w:autoSpaceDN w:val="0"/>
        <w:adjustRightInd w:val="0"/>
        <w:spacing w:line="288" w:lineRule="auto"/>
        <w:contextualSpacing/>
        <w:jc w:val="both"/>
        <w:rPr>
          <w:sz w:val="24"/>
          <w:szCs w:val="24"/>
        </w:rPr>
      </w:pPr>
      <w:r>
        <w:rPr>
          <w:sz w:val="24"/>
          <w:szCs w:val="24"/>
        </w:rPr>
        <w:t xml:space="preserve">6.3.4 Não havendo êxito nas negociações, o </w:t>
      </w:r>
      <w:r>
        <w:rPr>
          <w:bCs/>
          <w:color w:val="231F20"/>
          <w:sz w:val="24"/>
          <w:szCs w:val="24"/>
        </w:rPr>
        <w:t>gerenciador</w:t>
      </w:r>
      <w:r>
        <w:rPr>
          <w:sz w:val="24"/>
          <w:szCs w:val="24"/>
        </w:rPr>
        <w:t xml:space="preserve"> deverá proceder ao cancelamento da Ata de Registro de Preços, nos termos do art. 32 do Decreto nº 46/2025 e da cláusula décima desta Ata, com a adoção das medidas cabíveis para obtenção da contratação mais vantajosa. </w:t>
      </w:r>
    </w:p>
    <w:p w14:paraId="1DC9A0C4">
      <w:pPr>
        <w:autoSpaceDE w:val="0"/>
        <w:autoSpaceDN w:val="0"/>
        <w:adjustRightInd w:val="0"/>
        <w:spacing w:line="288" w:lineRule="auto"/>
        <w:contextualSpacing/>
        <w:jc w:val="both"/>
        <w:rPr>
          <w:sz w:val="24"/>
          <w:szCs w:val="24"/>
        </w:rPr>
      </w:pPr>
    </w:p>
    <w:p w14:paraId="5B292EC8">
      <w:pPr>
        <w:autoSpaceDE w:val="0"/>
        <w:autoSpaceDN w:val="0"/>
        <w:adjustRightInd w:val="0"/>
        <w:spacing w:line="288" w:lineRule="auto"/>
        <w:contextualSpacing/>
        <w:jc w:val="both"/>
        <w:rPr>
          <w:b/>
          <w:bCs/>
          <w:color w:val="231F20"/>
          <w:sz w:val="24"/>
          <w:szCs w:val="24"/>
        </w:rPr>
      </w:pPr>
      <w:r>
        <w:rPr>
          <w:sz w:val="24"/>
          <w:szCs w:val="24"/>
        </w:rPr>
        <w:t xml:space="preserve">6.3.5 Caso haja a redução do preço registrado, o </w:t>
      </w:r>
      <w:r>
        <w:rPr>
          <w:bCs/>
          <w:color w:val="231F20"/>
          <w:sz w:val="24"/>
          <w:szCs w:val="24"/>
        </w:rPr>
        <w:t>gerenciador</w:t>
      </w:r>
      <w:r>
        <w:rPr>
          <w:sz w:val="24"/>
          <w:szCs w:val="24"/>
        </w:rPr>
        <w:t xml:space="preserve"> deverá comunicar aos órgãos e as entidades que tiverem formalizado contratos, para que avaliem a necessidade de efetuar a revisão dos preços contratados.</w:t>
      </w:r>
    </w:p>
    <w:p w14:paraId="55F4959B">
      <w:pPr>
        <w:autoSpaceDE w:val="0"/>
        <w:autoSpaceDN w:val="0"/>
        <w:adjustRightInd w:val="0"/>
        <w:spacing w:line="288" w:lineRule="auto"/>
        <w:contextualSpacing/>
        <w:jc w:val="both"/>
        <w:rPr>
          <w:b/>
          <w:bCs/>
          <w:color w:val="231F20"/>
          <w:sz w:val="24"/>
          <w:szCs w:val="24"/>
        </w:rPr>
      </w:pPr>
    </w:p>
    <w:p w14:paraId="231C4B2E">
      <w:pPr>
        <w:autoSpaceDE w:val="0"/>
        <w:autoSpaceDN w:val="0"/>
        <w:adjustRightInd w:val="0"/>
        <w:spacing w:line="288" w:lineRule="auto"/>
        <w:contextualSpacing/>
        <w:jc w:val="both"/>
        <w:rPr>
          <w:color w:val="231F20"/>
          <w:sz w:val="24"/>
          <w:szCs w:val="24"/>
        </w:rPr>
      </w:pPr>
      <w:r>
        <w:rPr>
          <w:bCs/>
          <w:sz w:val="24"/>
          <w:szCs w:val="24"/>
        </w:rPr>
        <w:t>6.4 Q</w:t>
      </w:r>
      <w:r>
        <w:rPr>
          <w:color w:val="231F20"/>
          <w:sz w:val="24"/>
          <w:szCs w:val="24"/>
        </w:rPr>
        <w:t xml:space="preserve">uando o preço de mercado se tornar superior aos preços registrados e o fornecedor, mediante requerimento devidamente fundamentado, não puder cumprir as obrigações contidas na Ata de Registro de Preços, </w:t>
      </w:r>
      <w:r>
        <w:rPr>
          <w:sz w:val="24"/>
          <w:szCs w:val="24"/>
        </w:rPr>
        <w:t xml:space="preserve">ser-lhe-á facultado requerer ao </w:t>
      </w:r>
      <w:r>
        <w:rPr>
          <w:bCs/>
          <w:color w:val="231F20"/>
          <w:sz w:val="24"/>
          <w:szCs w:val="24"/>
        </w:rPr>
        <w:t>gerenciador</w:t>
      </w:r>
      <w:r>
        <w:rPr>
          <w:sz w:val="24"/>
          <w:szCs w:val="24"/>
        </w:rPr>
        <w:t xml:space="preserve"> a alteração dos preços registrados, mediante comprovação de fato superveniente que supostamente o impossibilite de cumprir o compromisso.</w:t>
      </w:r>
      <w:r>
        <w:rPr>
          <w:color w:val="231F20"/>
          <w:sz w:val="24"/>
          <w:szCs w:val="24"/>
        </w:rPr>
        <w:t xml:space="preserve"> </w:t>
      </w:r>
    </w:p>
    <w:p w14:paraId="0F7CDE75">
      <w:pPr>
        <w:autoSpaceDE w:val="0"/>
        <w:autoSpaceDN w:val="0"/>
        <w:adjustRightInd w:val="0"/>
        <w:spacing w:line="288" w:lineRule="auto"/>
        <w:contextualSpacing/>
        <w:jc w:val="both"/>
        <w:rPr>
          <w:color w:val="231F20"/>
          <w:sz w:val="24"/>
          <w:szCs w:val="24"/>
        </w:rPr>
      </w:pPr>
    </w:p>
    <w:p w14:paraId="446EF191">
      <w:pPr>
        <w:autoSpaceDE w:val="0"/>
        <w:autoSpaceDN w:val="0"/>
        <w:adjustRightInd w:val="0"/>
        <w:spacing w:line="288" w:lineRule="auto"/>
        <w:contextualSpacing/>
        <w:jc w:val="both"/>
        <w:rPr>
          <w:color w:val="231F20"/>
          <w:sz w:val="24"/>
          <w:szCs w:val="24"/>
        </w:rPr>
      </w:pPr>
      <w:r>
        <w:rPr>
          <w:color w:val="231F20"/>
          <w:sz w:val="24"/>
          <w:szCs w:val="24"/>
        </w:rPr>
        <w:t xml:space="preserve">6.4.1 </w:t>
      </w:r>
      <w:r>
        <w:rPr>
          <w:sz w:val="24"/>
          <w:szCs w:val="24"/>
        </w:rPr>
        <w:t xml:space="preserve">O </w:t>
      </w:r>
      <w:r>
        <w:rPr>
          <w:color w:val="231F20"/>
          <w:sz w:val="24"/>
          <w:szCs w:val="24"/>
        </w:rPr>
        <w:t>fornecedor</w:t>
      </w:r>
      <w:r>
        <w:rPr>
          <w:sz w:val="24"/>
          <w:szCs w:val="24"/>
        </w:rPr>
        <w:t xml:space="preserve"> deverá encaminhar, juntamente com o pedido de alteração, documentação comprobatória ou planilha de custos que demonstre que o preço registrado se tornou inviável frente às condições inicialmente pactuadas, cabendo ao </w:t>
      </w:r>
      <w:r>
        <w:rPr>
          <w:bCs/>
          <w:color w:val="231F20"/>
          <w:sz w:val="24"/>
          <w:szCs w:val="24"/>
        </w:rPr>
        <w:t>gerenciador</w:t>
      </w:r>
      <w:r>
        <w:rPr>
          <w:sz w:val="24"/>
          <w:szCs w:val="24"/>
        </w:rPr>
        <w:t xml:space="preserve"> a análise e deliberação a respeito do pedido.</w:t>
      </w:r>
    </w:p>
    <w:p w14:paraId="6F3610F4">
      <w:pPr>
        <w:autoSpaceDE w:val="0"/>
        <w:autoSpaceDN w:val="0"/>
        <w:adjustRightInd w:val="0"/>
        <w:spacing w:line="288" w:lineRule="auto"/>
        <w:contextualSpacing/>
        <w:jc w:val="both"/>
        <w:rPr>
          <w:color w:val="231F20"/>
          <w:sz w:val="24"/>
          <w:szCs w:val="24"/>
        </w:rPr>
      </w:pPr>
    </w:p>
    <w:p w14:paraId="08355336">
      <w:pPr>
        <w:autoSpaceDE w:val="0"/>
        <w:autoSpaceDN w:val="0"/>
        <w:adjustRightInd w:val="0"/>
        <w:spacing w:line="288" w:lineRule="auto"/>
        <w:contextualSpacing/>
        <w:jc w:val="both"/>
        <w:rPr>
          <w:sz w:val="24"/>
          <w:szCs w:val="24"/>
        </w:rPr>
      </w:pPr>
      <w:r>
        <w:rPr>
          <w:sz w:val="24"/>
          <w:szCs w:val="24"/>
        </w:rPr>
        <w:t xml:space="preserve">6.4.2 Na hipótese de deferimento do pedido, o </w:t>
      </w:r>
      <w:r>
        <w:rPr>
          <w:bCs/>
          <w:color w:val="231F20"/>
          <w:sz w:val="24"/>
          <w:szCs w:val="24"/>
        </w:rPr>
        <w:t>gerenciador</w:t>
      </w:r>
      <w:r>
        <w:rPr>
          <w:sz w:val="24"/>
          <w:szCs w:val="24"/>
        </w:rPr>
        <w:t xml:space="preserve"> procederá à atualização do preço registrado, de acordo com a realidade dos valores praticados pelo mercado. </w:t>
      </w:r>
    </w:p>
    <w:p w14:paraId="00C5E7C2">
      <w:pPr>
        <w:autoSpaceDE w:val="0"/>
        <w:autoSpaceDN w:val="0"/>
        <w:adjustRightInd w:val="0"/>
        <w:spacing w:line="288" w:lineRule="auto"/>
        <w:contextualSpacing/>
        <w:jc w:val="both"/>
        <w:rPr>
          <w:color w:val="231F20"/>
          <w:sz w:val="24"/>
          <w:szCs w:val="24"/>
        </w:rPr>
      </w:pPr>
    </w:p>
    <w:p w14:paraId="4358A63D">
      <w:pPr>
        <w:autoSpaceDE w:val="0"/>
        <w:autoSpaceDN w:val="0"/>
        <w:adjustRightInd w:val="0"/>
        <w:spacing w:line="288" w:lineRule="auto"/>
        <w:contextualSpacing/>
        <w:jc w:val="both"/>
        <w:rPr>
          <w:color w:val="231F20"/>
          <w:sz w:val="24"/>
          <w:szCs w:val="24"/>
        </w:rPr>
      </w:pPr>
      <w:r>
        <w:rPr>
          <w:color w:val="231F20"/>
          <w:sz w:val="24"/>
          <w:szCs w:val="24"/>
        </w:rPr>
        <w:t xml:space="preserve">6.4.3 O </w:t>
      </w:r>
      <w:r>
        <w:rPr>
          <w:bCs/>
          <w:color w:val="231F20"/>
          <w:sz w:val="24"/>
          <w:szCs w:val="24"/>
        </w:rPr>
        <w:t xml:space="preserve">fornecedor </w:t>
      </w:r>
      <w:r>
        <w:rPr>
          <w:color w:val="231F20"/>
          <w:sz w:val="24"/>
          <w:szCs w:val="24"/>
        </w:rPr>
        <w:t xml:space="preserve">do compromisso assumido poderá ser liberado pelo </w:t>
      </w:r>
      <w:r>
        <w:rPr>
          <w:bCs/>
          <w:color w:val="231F20"/>
          <w:sz w:val="24"/>
          <w:szCs w:val="24"/>
        </w:rPr>
        <w:t>gerenciador</w:t>
      </w:r>
      <w:r>
        <w:rPr>
          <w:color w:val="231F20"/>
          <w:sz w:val="24"/>
          <w:szCs w:val="24"/>
        </w:rPr>
        <w:t>, caso a comunicação ocorra antes do pedido de fornecimento, e sem aplicação de penalidades administrativas, se confirmada a veracidade dos motivos e comprovantes apresentados.</w:t>
      </w:r>
    </w:p>
    <w:p w14:paraId="3AEE44CF">
      <w:pPr>
        <w:autoSpaceDE w:val="0"/>
        <w:autoSpaceDN w:val="0"/>
        <w:adjustRightInd w:val="0"/>
        <w:spacing w:line="288" w:lineRule="auto"/>
        <w:contextualSpacing/>
        <w:jc w:val="both"/>
        <w:rPr>
          <w:color w:val="231F20"/>
          <w:sz w:val="24"/>
          <w:szCs w:val="24"/>
        </w:rPr>
      </w:pPr>
    </w:p>
    <w:p w14:paraId="61D2858D">
      <w:pPr>
        <w:autoSpaceDE w:val="0"/>
        <w:autoSpaceDN w:val="0"/>
        <w:adjustRightInd w:val="0"/>
        <w:spacing w:line="288" w:lineRule="auto"/>
        <w:contextualSpacing/>
        <w:jc w:val="both"/>
        <w:rPr>
          <w:color w:val="231F20"/>
          <w:sz w:val="24"/>
          <w:szCs w:val="24"/>
        </w:rPr>
      </w:pPr>
      <w:r>
        <w:rPr>
          <w:color w:val="231F20"/>
          <w:sz w:val="24"/>
          <w:szCs w:val="24"/>
        </w:rPr>
        <w:t xml:space="preserve">6.4.4 </w:t>
      </w:r>
      <w:r>
        <w:rPr>
          <w:sz w:val="24"/>
          <w:szCs w:val="24"/>
        </w:rPr>
        <w:t xml:space="preserve">Caso não demonstrada a existência de fato superveniente que torne insubsistente o preço registrado, o pedido será indeferido pelo </w:t>
      </w:r>
      <w:r>
        <w:rPr>
          <w:bCs/>
          <w:color w:val="231F20"/>
          <w:sz w:val="24"/>
          <w:szCs w:val="24"/>
        </w:rPr>
        <w:t>gerenciador,</w:t>
      </w:r>
      <w:r>
        <w:rPr>
          <w:sz w:val="24"/>
          <w:szCs w:val="24"/>
        </w:rPr>
        <w:t xml:space="preserve"> ficando o fornecedor obrigado a cumprir as obrigações contidas na Ata de Registro de Preços, sob pena de cancelamento do seu registro, nos termos do art. 31 do Decreto nº 46/2025, sem prejuízo das sanções previstas na Lei nº 14.133/2021, no instrumento convocatório, quando houver,</w:t>
      </w:r>
      <w:r>
        <w:rPr>
          <w:rFonts w:eastAsia="Arial"/>
          <w:sz w:val="24"/>
          <w:szCs w:val="24"/>
        </w:rPr>
        <w:t xml:space="preserve"> e no Termo de Referência</w:t>
      </w:r>
      <w:r>
        <w:rPr>
          <w:sz w:val="24"/>
          <w:szCs w:val="24"/>
        </w:rPr>
        <w:t>, e em outras legislações aplicáveis.</w:t>
      </w:r>
    </w:p>
    <w:p w14:paraId="645A4F95">
      <w:pPr>
        <w:autoSpaceDE w:val="0"/>
        <w:autoSpaceDN w:val="0"/>
        <w:adjustRightInd w:val="0"/>
        <w:spacing w:line="288" w:lineRule="auto"/>
        <w:contextualSpacing/>
        <w:jc w:val="both"/>
        <w:rPr>
          <w:b/>
          <w:bCs/>
          <w:color w:val="231F20"/>
          <w:sz w:val="24"/>
          <w:szCs w:val="24"/>
        </w:rPr>
      </w:pPr>
    </w:p>
    <w:p w14:paraId="77ABED67">
      <w:pPr>
        <w:autoSpaceDE w:val="0"/>
        <w:autoSpaceDN w:val="0"/>
        <w:adjustRightInd w:val="0"/>
        <w:spacing w:line="288" w:lineRule="auto"/>
        <w:contextualSpacing/>
        <w:jc w:val="both"/>
        <w:rPr>
          <w:sz w:val="24"/>
          <w:szCs w:val="24"/>
        </w:rPr>
      </w:pPr>
      <w:r>
        <w:rPr>
          <w:sz w:val="24"/>
          <w:szCs w:val="24"/>
        </w:rPr>
        <w:t xml:space="preserve">6.4.4.1 Havendo cancelamento do registro do fornecedor, nos termos do item 6.4.4, o </w:t>
      </w:r>
      <w:r>
        <w:rPr>
          <w:bCs/>
          <w:color w:val="231F20"/>
          <w:sz w:val="24"/>
          <w:szCs w:val="24"/>
        </w:rPr>
        <w:t>gerenciador</w:t>
      </w:r>
      <w:r>
        <w:rPr>
          <w:sz w:val="24"/>
          <w:szCs w:val="24"/>
        </w:rPr>
        <w:t xml:space="preserve"> deverá convocar os proponentes do Cadastro de Reserva, observada a ordem de classificação, para verificar se aceitam manter seus preços registrados, observado o disposto no art. 19, § 3º, do Decreto nº 56/2025. </w:t>
      </w:r>
    </w:p>
    <w:p w14:paraId="19BF864D">
      <w:pPr>
        <w:autoSpaceDE w:val="0"/>
        <w:autoSpaceDN w:val="0"/>
        <w:adjustRightInd w:val="0"/>
        <w:spacing w:line="288" w:lineRule="auto"/>
        <w:contextualSpacing/>
        <w:jc w:val="both"/>
        <w:rPr>
          <w:sz w:val="24"/>
          <w:szCs w:val="24"/>
        </w:rPr>
      </w:pPr>
    </w:p>
    <w:p w14:paraId="638FF171">
      <w:pPr>
        <w:autoSpaceDE w:val="0"/>
        <w:autoSpaceDN w:val="0"/>
        <w:adjustRightInd w:val="0"/>
        <w:spacing w:line="288" w:lineRule="auto"/>
        <w:contextualSpacing/>
        <w:jc w:val="both"/>
        <w:rPr>
          <w:sz w:val="24"/>
          <w:szCs w:val="24"/>
        </w:rPr>
      </w:pPr>
      <w:r>
        <w:rPr>
          <w:sz w:val="24"/>
          <w:szCs w:val="24"/>
        </w:rPr>
        <w:t xml:space="preserve">6.4.4.2 Não havendo êxito nas negociações, o </w:t>
      </w:r>
      <w:r>
        <w:rPr>
          <w:bCs/>
          <w:color w:val="231F20"/>
          <w:sz w:val="24"/>
          <w:szCs w:val="24"/>
        </w:rPr>
        <w:t>gerenciador</w:t>
      </w:r>
      <w:r>
        <w:rPr>
          <w:sz w:val="24"/>
          <w:szCs w:val="24"/>
        </w:rPr>
        <w:t xml:space="preserve"> deverá proceder ao cancelamento da Ata de Registro de Preços, adotando as medidas cabíveis para obtenção da contratação mais vantajosa. </w:t>
      </w:r>
    </w:p>
    <w:p w14:paraId="242E621B">
      <w:pPr>
        <w:autoSpaceDE w:val="0"/>
        <w:autoSpaceDN w:val="0"/>
        <w:adjustRightInd w:val="0"/>
        <w:spacing w:line="288" w:lineRule="auto"/>
        <w:contextualSpacing/>
        <w:jc w:val="both"/>
        <w:rPr>
          <w:sz w:val="24"/>
          <w:szCs w:val="24"/>
        </w:rPr>
      </w:pPr>
    </w:p>
    <w:p w14:paraId="2276686C">
      <w:pPr>
        <w:autoSpaceDE w:val="0"/>
        <w:autoSpaceDN w:val="0"/>
        <w:adjustRightInd w:val="0"/>
        <w:spacing w:line="288" w:lineRule="auto"/>
        <w:contextualSpacing/>
        <w:jc w:val="both"/>
        <w:rPr>
          <w:sz w:val="24"/>
          <w:szCs w:val="24"/>
        </w:rPr>
      </w:pPr>
      <w:r>
        <w:rPr>
          <w:sz w:val="24"/>
          <w:szCs w:val="24"/>
        </w:rPr>
        <w:t xml:space="preserve">6.5 Os novos valores a serem registrados, conforme itens 6.3.5 e 6.4.2, deverão ser formalizados mediante termo aditivo à Ata de Registro de Preços. </w:t>
      </w:r>
    </w:p>
    <w:p w14:paraId="3390BD12">
      <w:pPr>
        <w:autoSpaceDE w:val="0"/>
        <w:autoSpaceDN w:val="0"/>
        <w:adjustRightInd w:val="0"/>
        <w:spacing w:line="288" w:lineRule="auto"/>
        <w:contextualSpacing/>
        <w:jc w:val="both"/>
        <w:rPr>
          <w:sz w:val="24"/>
          <w:szCs w:val="24"/>
        </w:rPr>
      </w:pPr>
    </w:p>
    <w:p w14:paraId="52B21A1A">
      <w:pPr>
        <w:autoSpaceDE w:val="0"/>
        <w:autoSpaceDN w:val="0"/>
        <w:adjustRightInd w:val="0"/>
        <w:spacing w:line="288" w:lineRule="auto"/>
        <w:contextualSpacing/>
        <w:jc w:val="both"/>
        <w:rPr>
          <w:sz w:val="24"/>
          <w:szCs w:val="24"/>
        </w:rPr>
      </w:pPr>
      <w:r>
        <w:rPr>
          <w:sz w:val="24"/>
          <w:szCs w:val="24"/>
        </w:rPr>
        <w:t>6.6 Os preços registrados poderão, ainda, ser reajustados ou repactuados, conforme estabelecido no instrumento convocatório, quando houver,</w:t>
      </w:r>
      <w:r>
        <w:rPr>
          <w:rFonts w:eastAsia="Arial"/>
          <w:sz w:val="24"/>
          <w:szCs w:val="24"/>
        </w:rPr>
        <w:t xml:space="preserve"> e no Termo de Referência</w:t>
      </w:r>
      <w:r>
        <w:rPr>
          <w:sz w:val="24"/>
          <w:szCs w:val="24"/>
        </w:rPr>
        <w:t>, nos termos da Lei nº 14.133/ 2021.</w:t>
      </w:r>
    </w:p>
    <w:p w14:paraId="15A04AFD">
      <w:pPr>
        <w:autoSpaceDE w:val="0"/>
        <w:autoSpaceDN w:val="0"/>
        <w:adjustRightInd w:val="0"/>
        <w:spacing w:line="288" w:lineRule="auto"/>
        <w:contextualSpacing/>
        <w:jc w:val="both"/>
        <w:rPr>
          <w:sz w:val="24"/>
          <w:szCs w:val="24"/>
        </w:rPr>
      </w:pPr>
    </w:p>
    <w:p w14:paraId="416982D5">
      <w:pPr>
        <w:autoSpaceDE w:val="0"/>
        <w:autoSpaceDN w:val="0"/>
        <w:adjustRightInd w:val="0"/>
        <w:spacing w:line="288" w:lineRule="auto"/>
        <w:contextualSpacing/>
        <w:jc w:val="both"/>
        <w:rPr>
          <w:sz w:val="24"/>
          <w:szCs w:val="24"/>
        </w:rPr>
      </w:pPr>
      <w:r>
        <w:rPr>
          <w:sz w:val="24"/>
          <w:szCs w:val="24"/>
        </w:rPr>
        <w:t>6.6.1 O reajustamento ou repactuação poderá ser efetuado mediante apostilamento.</w:t>
      </w:r>
    </w:p>
    <w:p w14:paraId="07CD04B1">
      <w:pPr>
        <w:spacing w:line="288" w:lineRule="auto"/>
        <w:contextualSpacing/>
        <w:jc w:val="both"/>
        <w:rPr>
          <w:sz w:val="24"/>
          <w:szCs w:val="24"/>
        </w:rPr>
      </w:pPr>
    </w:p>
    <w:p w14:paraId="5F39AF93">
      <w:pPr>
        <w:spacing w:line="288" w:lineRule="auto"/>
        <w:contextualSpacing/>
        <w:jc w:val="both"/>
        <w:rPr>
          <w:rFonts w:eastAsia="Arial"/>
          <w:b/>
          <w:sz w:val="24"/>
          <w:szCs w:val="24"/>
        </w:rPr>
      </w:pPr>
      <w:r>
        <w:rPr>
          <w:rFonts w:eastAsia="Arial"/>
          <w:b/>
          <w:sz w:val="24"/>
          <w:szCs w:val="24"/>
        </w:rPr>
        <w:t>CLÁUSULA SÉTIMA: DOS LOCAIS DE PRESTAÇÃO DOS SERVIÇOS</w:t>
      </w:r>
    </w:p>
    <w:p w14:paraId="431179DC">
      <w:pPr>
        <w:autoSpaceDE w:val="0"/>
        <w:autoSpaceDN w:val="0"/>
        <w:adjustRightInd w:val="0"/>
        <w:spacing w:line="288" w:lineRule="auto"/>
        <w:contextualSpacing/>
        <w:jc w:val="both"/>
        <w:rPr>
          <w:color w:val="231F20"/>
          <w:sz w:val="24"/>
          <w:szCs w:val="24"/>
        </w:rPr>
      </w:pPr>
    </w:p>
    <w:p w14:paraId="107CD680">
      <w:pPr>
        <w:autoSpaceDE w:val="0"/>
        <w:autoSpaceDN w:val="0"/>
        <w:adjustRightInd w:val="0"/>
        <w:spacing w:line="288" w:lineRule="auto"/>
        <w:contextualSpacing/>
        <w:jc w:val="both"/>
        <w:rPr>
          <w:color w:val="231F20"/>
          <w:sz w:val="24"/>
          <w:szCs w:val="24"/>
        </w:rPr>
      </w:pPr>
      <w:r>
        <w:rPr>
          <w:color w:val="231F20"/>
          <w:sz w:val="24"/>
          <w:szCs w:val="24"/>
        </w:rPr>
        <w:t xml:space="preserve">7.1 Os locais </w:t>
      </w:r>
      <w:r>
        <w:rPr>
          <w:color w:val="000000" w:themeColor="text1"/>
          <w:sz w:val="24"/>
          <w:szCs w:val="24"/>
          <w14:textFill>
            <w14:solidFill>
              <w14:schemeClr w14:val="tx1"/>
            </w14:solidFill>
          </w14:textFill>
        </w:rPr>
        <w:t xml:space="preserve">de entrega dos bens objeto </w:t>
      </w:r>
      <w:r>
        <w:rPr>
          <w:color w:val="231F20"/>
          <w:sz w:val="24"/>
          <w:szCs w:val="24"/>
        </w:rPr>
        <w:t>do registro de preços estão listados no Termo de Referência.</w:t>
      </w:r>
    </w:p>
    <w:p w14:paraId="203D9D5B">
      <w:pPr>
        <w:spacing w:line="288" w:lineRule="auto"/>
        <w:contextualSpacing/>
        <w:jc w:val="both"/>
        <w:rPr>
          <w:rFonts w:eastAsia="Arial"/>
          <w:b/>
          <w:sz w:val="24"/>
          <w:szCs w:val="24"/>
          <w:u w:val="single"/>
        </w:rPr>
      </w:pPr>
    </w:p>
    <w:p w14:paraId="76CA7004">
      <w:pPr>
        <w:spacing w:line="288" w:lineRule="auto"/>
        <w:contextualSpacing/>
        <w:jc w:val="both"/>
        <w:rPr>
          <w:rFonts w:eastAsia="Arial"/>
          <w:b/>
          <w:sz w:val="24"/>
          <w:szCs w:val="24"/>
        </w:rPr>
      </w:pPr>
      <w:r>
        <w:rPr>
          <w:rFonts w:eastAsia="Arial"/>
          <w:b/>
          <w:sz w:val="24"/>
          <w:szCs w:val="24"/>
        </w:rPr>
        <w:t>CLÁUSULA OITAVA: DO PRAZO DE VALIDADE DA ATA DE REGISTRO DE PREÇOS</w:t>
      </w:r>
    </w:p>
    <w:p w14:paraId="4F383FFD">
      <w:pPr>
        <w:autoSpaceDE w:val="0"/>
        <w:autoSpaceDN w:val="0"/>
        <w:adjustRightInd w:val="0"/>
        <w:spacing w:line="288" w:lineRule="auto"/>
        <w:contextualSpacing/>
        <w:jc w:val="both"/>
        <w:rPr>
          <w:color w:val="231F20"/>
          <w:sz w:val="24"/>
          <w:szCs w:val="24"/>
        </w:rPr>
      </w:pPr>
    </w:p>
    <w:p w14:paraId="3BFBB489">
      <w:pPr>
        <w:autoSpaceDE w:val="0"/>
        <w:autoSpaceDN w:val="0"/>
        <w:adjustRightInd w:val="0"/>
        <w:spacing w:line="288" w:lineRule="auto"/>
        <w:contextualSpacing/>
        <w:jc w:val="both"/>
        <w:rPr>
          <w:color w:val="231F20"/>
          <w:sz w:val="24"/>
          <w:szCs w:val="24"/>
        </w:rPr>
      </w:pPr>
      <w:r>
        <w:rPr>
          <w:color w:val="231F20"/>
          <w:sz w:val="24"/>
          <w:szCs w:val="24"/>
        </w:rPr>
        <w:t xml:space="preserve">8.1 O prazo de validade da Ata de Registro de Preços é de 1 (um) ano, </w:t>
      </w:r>
      <w:r>
        <w:rPr>
          <w:color w:val="000000"/>
          <w:sz w:val="24"/>
          <w:szCs w:val="24"/>
        </w:rPr>
        <w:t xml:space="preserve">contado a partir </w:t>
      </w:r>
      <w:r>
        <w:rPr>
          <w:sz w:val="24"/>
          <w:szCs w:val="24"/>
        </w:rPr>
        <w:t>do 1º (primeiro) dia útil subsequente à data de divulgação no PNCP.</w:t>
      </w:r>
      <w:r>
        <w:rPr>
          <w:color w:val="231F20"/>
          <w:sz w:val="24"/>
          <w:szCs w:val="24"/>
        </w:rPr>
        <w:t xml:space="preserve"> </w:t>
      </w:r>
    </w:p>
    <w:p w14:paraId="4249CDA0">
      <w:pPr>
        <w:autoSpaceDE w:val="0"/>
        <w:autoSpaceDN w:val="0"/>
        <w:adjustRightInd w:val="0"/>
        <w:spacing w:line="288" w:lineRule="auto"/>
        <w:contextualSpacing/>
        <w:jc w:val="both"/>
        <w:rPr>
          <w:color w:val="231F20"/>
          <w:sz w:val="24"/>
          <w:szCs w:val="24"/>
        </w:rPr>
      </w:pPr>
    </w:p>
    <w:p w14:paraId="24625582">
      <w:pPr>
        <w:autoSpaceDE w:val="0"/>
        <w:autoSpaceDN w:val="0"/>
        <w:adjustRightInd w:val="0"/>
        <w:spacing w:line="288" w:lineRule="auto"/>
        <w:contextualSpacing/>
        <w:jc w:val="both"/>
        <w:rPr>
          <w:sz w:val="24"/>
          <w:szCs w:val="24"/>
        </w:rPr>
      </w:pPr>
      <w:r>
        <w:rPr>
          <w:color w:val="231F20"/>
          <w:sz w:val="24"/>
          <w:szCs w:val="24"/>
        </w:rPr>
        <w:t xml:space="preserve">8.2 </w:t>
      </w:r>
      <w:r>
        <w:rPr>
          <w:sz w:val="24"/>
          <w:szCs w:val="24"/>
        </w:rPr>
        <w:t>O prazo de vigência da Ata de Registro de Preços poderá ser prorrogado, por igual período, mediante termo aditivo, desde que as condições e os preços permaneçam vantajosos, observados os seguintes requisitos:</w:t>
      </w:r>
    </w:p>
    <w:p w14:paraId="6B7722A8">
      <w:pPr>
        <w:autoSpaceDE w:val="0"/>
        <w:autoSpaceDN w:val="0"/>
        <w:adjustRightInd w:val="0"/>
        <w:spacing w:line="288" w:lineRule="auto"/>
        <w:contextualSpacing/>
        <w:jc w:val="both"/>
        <w:rPr>
          <w:sz w:val="24"/>
          <w:szCs w:val="24"/>
        </w:rPr>
      </w:pPr>
    </w:p>
    <w:p w14:paraId="54797D58">
      <w:pPr>
        <w:autoSpaceDE w:val="0"/>
        <w:autoSpaceDN w:val="0"/>
        <w:adjustRightInd w:val="0"/>
        <w:spacing w:line="288" w:lineRule="auto"/>
        <w:contextualSpacing/>
        <w:jc w:val="both"/>
        <w:rPr>
          <w:sz w:val="24"/>
          <w:szCs w:val="24"/>
        </w:rPr>
      </w:pPr>
      <w:r>
        <w:rPr>
          <w:sz w:val="24"/>
          <w:szCs w:val="24"/>
        </w:rPr>
        <w:t xml:space="preserve">8.2.1 somente o saldo remanescente será mantido; </w:t>
      </w:r>
    </w:p>
    <w:p w14:paraId="53CA6B9D">
      <w:pPr>
        <w:autoSpaceDE w:val="0"/>
        <w:autoSpaceDN w:val="0"/>
        <w:adjustRightInd w:val="0"/>
        <w:spacing w:line="288" w:lineRule="auto"/>
        <w:contextualSpacing/>
        <w:jc w:val="both"/>
        <w:rPr>
          <w:sz w:val="24"/>
          <w:szCs w:val="24"/>
        </w:rPr>
      </w:pPr>
    </w:p>
    <w:p w14:paraId="178F4D4A">
      <w:pPr>
        <w:autoSpaceDE w:val="0"/>
        <w:autoSpaceDN w:val="0"/>
        <w:adjustRightInd w:val="0"/>
        <w:spacing w:line="288" w:lineRule="auto"/>
        <w:contextualSpacing/>
        <w:jc w:val="both"/>
        <w:rPr>
          <w:sz w:val="24"/>
          <w:szCs w:val="24"/>
        </w:rPr>
      </w:pPr>
      <w:r>
        <w:rPr>
          <w:sz w:val="24"/>
          <w:szCs w:val="24"/>
        </w:rPr>
        <w:t>8.2.2 deverá ser indicado expressamente o prazo de prorrogação; e</w:t>
      </w:r>
    </w:p>
    <w:p w14:paraId="6F94CEE5">
      <w:pPr>
        <w:autoSpaceDE w:val="0"/>
        <w:autoSpaceDN w:val="0"/>
        <w:adjustRightInd w:val="0"/>
        <w:spacing w:line="288" w:lineRule="auto"/>
        <w:contextualSpacing/>
        <w:jc w:val="both"/>
        <w:rPr>
          <w:sz w:val="24"/>
          <w:szCs w:val="24"/>
        </w:rPr>
      </w:pPr>
    </w:p>
    <w:p w14:paraId="3AD21E2E">
      <w:pPr>
        <w:autoSpaceDE w:val="0"/>
        <w:autoSpaceDN w:val="0"/>
        <w:adjustRightInd w:val="0"/>
        <w:spacing w:line="288" w:lineRule="auto"/>
        <w:contextualSpacing/>
        <w:jc w:val="both"/>
        <w:rPr>
          <w:sz w:val="24"/>
          <w:szCs w:val="24"/>
        </w:rPr>
      </w:pPr>
      <w:r>
        <w:rPr>
          <w:sz w:val="24"/>
          <w:szCs w:val="24"/>
        </w:rPr>
        <w:t>8.2.3 deverá ser confirmado se os preços registrados permanecem atualizados, por meio de pesquisa de preços realizada na forma do Decreto nº 46/2025.</w:t>
      </w:r>
    </w:p>
    <w:p w14:paraId="29DC8F46">
      <w:pPr>
        <w:spacing w:line="288" w:lineRule="auto"/>
        <w:contextualSpacing/>
        <w:jc w:val="both"/>
        <w:rPr>
          <w:sz w:val="24"/>
          <w:szCs w:val="24"/>
        </w:rPr>
      </w:pPr>
    </w:p>
    <w:p w14:paraId="0D712BA0">
      <w:pPr>
        <w:spacing w:line="288" w:lineRule="auto"/>
        <w:contextualSpacing/>
        <w:jc w:val="both"/>
        <w:rPr>
          <w:sz w:val="24"/>
          <w:szCs w:val="24"/>
        </w:rPr>
      </w:pPr>
      <w:r>
        <w:rPr>
          <w:b/>
          <w:sz w:val="24"/>
          <w:szCs w:val="24"/>
        </w:rPr>
        <w:t>CLÁUSULA NONA: DO CADASTRO DE RESERVA</w:t>
      </w:r>
    </w:p>
    <w:p w14:paraId="49A35FA2">
      <w:pPr>
        <w:spacing w:line="288" w:lineRule="auto"/>
        <w:contextualSpacing/>
        <w:jc w:val="both"/>
        <w:rPr>
          <w:rFonts w:eastAsia="Arial"/>
          <w:sz w:val="24"/>
          <w:szCs w:val="24"/>
        </w:rPr>
      </w:pPr>
    </w:p>
    <w:p w14:paraId="1B98A0C5">
      <w:pPr>
        <w:spacing w:line="288" w:lineRule="auto"/>
        <w:contextualSpacing/>
        <w:jc w:val="both"/>
        <w:rPr>
          <w:rFonts w:eastAsia="Arial"/>
          <w:sz w:val="24"/>
          <w:szCs w:val="24"/>
        </w:rPr>
      </w:pPr>
      <w:r>
        <w:rPr>
          <w:rFonts w:eastAsia="Arial"/>
          <w:sz w:val="24"/>
          <w:szCs w:val="24"/>
        </w:rPr>
        <w:t xml:space="preserve">9.1 Fazem parte do Cadastro de Reserva os </w:t>
      </w:r>
      <w:r>
        <w:rPr>
          <w:sz w:val="24"/>
          <w:szCs w:val="24"/>
        </w:rPr>
        <w:t xml:space="preserve">proponentes que aceitaram cotar os bens ou serviços em preços iguais aos do proponente vencedor do certame, observada a ordem de classificação, e os proponentes que mantiveram sua proposta original, conforme informações reunidas no Anexo II – Cadastro de Reserva. </w:t>
      </w:r>
    </w:p>
    <w:p w14:paraId="495C7404">
      <w:pPr>
        <w:autoSpaceDE w:val="0"/>
        <w:autoSpaceDN w:val="0"/>
        <w:adjustRightInd w:val="0"/>
        <w:spacing w:line="288" w:lineRule="auto"/>
        <w:contextualSpacing/>
        <w:jc w:val="both"/>
        <w:rPr>
          <w:color w:val="231F20"/>
          <w:sz w:val="24"/>
          <w:szCs w:val="24"/>
        </w:rPr>
      </w:pPr>
    </w:p>
    <w:p w14:paraId="7ADB9E1B">
      <w:pPr>
        <w:autoSpaceDE w:val="0"/>
        <w:autoSpaceDN w:val="0"/>
        <w:adjustRightInd w:val="0"/>
        <w:spacing w:line="288" w:lineRule="auto"/>
        <w:contextualSpacing/>
        <w:jc w:val="both"/>
        <w:rPr>
          <w:color w:val="231F20"/>
          <w:sz w:val="24"/>
          <w:szCs w:val="24"/>
        </w:rPr>
      </w:pPr>
      <w:r>
        <w:rPr>
          <w:color w:val="231F20"/>
          <w:sz w:val="24"/>
          <w:szCs w:val="24"/>
        </w:rPr>
        <w:t>9.2 A ordem de classificação dos registrados na ata deverá ser respeitada para as contratações, cabendo ao gerenciador realizar os devidos registros na Ata de Registro de Preços, para a sua atualização.</w:t>
      </w:r>
    </w:p>
    <w:p w14:paraId="564D7E26">
      <w:pPr>
        <w:autoSpaceDE w:val="0"/>
        <w:autoSpaceDN w:val="0"/>
        <w:adjustRightInd w:val="0"/>
        <w:spacing w:line="288" w:lineRule="auto"/>
        <w:contextualSpacing/>
        <w:jc w:val="both"/>
        <w:rPr>
          <w:color w:val="231F20"/>
          <w:sz w:val="24"/>
          <w:szCs w:val="24"/>
        </w:rPr>
      </w:pPr>
    </w:p>
    <w:p w14:paraId="75ED59E2">
      <w:pPr>
        <w:autoSpaceDE w:val="0"/>
        <w:autoSpaceDN w:val="0"/>
        <w:adjustRightInd w:val="0"/>
        <w:spacing w:line="288" w:lineRule="auto"/>
        <w:contextualSpacing/>
        <w:jc w:val="both"/>
        <w:rPr>
          <w:color w:val="231F20"/>
          <w:sz w:val="24"/>
          <w:szCs w:val="24"/>
        </w:rPr>
      </w:pPr>
      <w:r>
        <w:rPr>
          <w:color w:val="231F20"/>
          <w:sz w:val="24"/>
          <w:szCs w:val="24"/>
        </w:rPr>
        <w:t xml:space="preserve">9.3 </w:t>
      </w:r>
      <w:r>
        <w:rPr>
          <w:sz w:val="24"/>
          <w:szCs w:val="24"/>
        </w:rPr>
        <w:t>A habilitação dos proponentes que irão compor o Cadastro de Reserva somente será efetuada quando houver necessidade de contratação dos proponentes remanescentes, na forma do parágrafo 3º do art. 19 do Decreto nº 46/2025.</w:t>
      </w:r>
    </w:p>
    <w:p w14:paraId="2D9E2A64">
      <w:pPr>
        <w:autoSpaceDE w:val="0"/>
        <w:autoSpaceDN w:val="0"/>
        <w:adjustRightInd w:val="0"/>
        <w:spacing w:line="288" w:lineRule="auto"/>
        <w:contextualSpacing/>
        <w:jc w:val="both"/>
        <w:rPr>
          <w:color w:val="231F20"/>
          <w:sz w:val="24"/>
          <w:szCs w:val="24"/>
        </w:rPr>
      </w:pPr>
    </w:p>
    <w:p w14:paraId="27CCF866">
      <w:pPr>
        <w:autoSpaceDE w:val="0"/>
        <w:autoSpaceDN w:val="0"/>
        <w:adjustRightInd w:val="0"/>
        <w:spacing w:line="288" w:lineRule="auto"/>
        <w:contextualSpacing/>
        <w:jc w:val="both"/>
        <w:rPr>
          <w:color w:val="231F20"/>
          <w:sz w:val="24"/>
          <w:szCs w:val="24"/>
        </w:rPr>
      </w:pPr>
      <w:r>
        <w:rPr>
          <w:color w:val="231F20"/>
          <w:sz w:val="24"/>
          <w:szCs w:val="24"/>
        </w:rPr>
        <w:t xml:space="preserve">9.4 </w:t>
      </w:r>
      <w:r>
        <w:rPr>
          <w:sz w:val="24"/>
          <w:szCs w:val="24"/>
        </w:rPr>
        <w:t>É facultado à Administração, quando o convocado não assinar a Ata de Registro de Preços no prazo e condições estabelecidos no instrumento convocatório, quando houver,</w:t>
      </w:r>
      <w:r>
        <w:rPr>
          <w:rFonts w:eastAsia="Arial"/>
          <w:sz w:val="24"/>
          <w:szCs w:val="24"/>
        </w:rPr>
        <w:t xml:space="preserve"> e no Termo de Referência</w:t>
      </w:r>
      <w:r>
        <w:rPr>
          <w:sz w:val="24"/>
          <w:szCs w:val="24"/>
        </w:rPr>
        <w:t xml:space="preserve">, convocar os proponentes do Cadastro de Reserva, na ordem de classificação, para fazê-lo em igual prazo e nas mesmas condições propostas pelo primeiro classificado. </w:t>
      </w:r>
    </w:p>
    <w:p w14:paraId="7D623220">
      <w:pPr>
        <w:autoSpaceDE w:val="0"/>
        <w:autoSpaceDN w:val="0"/>
        <w:adjustRightInd w:val="0"/>
        <w:spacing w:line="288" w:lineRule="auto"/>
        <w:contextualSpacing/>
        <w:jc w:val="both"/>
        <w:rPr>
          <w:color w:val="231F20"/>
          <w:sz w:val="24"/>
          <w:szCs w:val="24"/>
        </w:rPr>
      </w:pPr>
    </w:p>
    <w:p w14:paraId="3B29E3FF">
      <w:pPr>
        <w:autoSpaceDE w:val="0"/>
        <w:autoSpaceDN w:val="0"/>
        <w:adjustRightInd w:val="0"/>
        <w:spacing w:line="288" w:lineRule="auto"/>
        <w:contextualSpacing/>
        <w:jc w:val="both"/>
        <w:rPr>
          <w:color w:val="231F20"/>
          <w:sz w:val="24"/>
          <w:szCs w:val="24"/>
        </w:rPr>
      </w:pPr>
      <w:r>
        <w:rPr>
          <w:color w:val="231F20"/>
          <w:sz w:val="24"/>
          <w:szCs w:val="24"/>
        </w:rPr>
        <w:t xml:space="preserve">9.5 O Cadastro de Reserva poderá ser empregado no caso de exclusão do fornecedor da Ata de Registro de Preços, nas seguintes ocorrências: </w:t>
      </w:r>
    </w:p>
    <w:p w14:paraId="511C768B">
      <w:pPr>
        <w:autoSpaceDE w:val="0"/>
        <w:autoSpaceDN w:val="0"/>
        <w:adjustRightInd w:val="0"/>
        <w:spacing w:line="288" w:lineRule="auto"/>
        <w:contextualSpacing/>
        <w:jc w:val="both"/>
        <w:rPr>
          <w:color w:val="231F20"/>
          <w:sz w:val="24"/>
          <w:szCs w:val="24"/>
        </w:rPr>
      </w:pPr>
      <w:r>
        <w:rPr>
          <w:color w:val="231F20"/>
          <w:sz w:val="24"/>
          <w:szCs w:val="24"/>
        </w:rPr>
        <w:t xml:space="preserve"> </w:t>
      </w:r>
    </w:p>
    <w:p w14:paraId="4BFC8238">
      <w:pPr>
        <w:autoSpaceDE w:val="0"/>
        <w:autoSpaceDN w:val="0"/>
        <w:adjustRightInd w:val="0"/>
        <w:spacing w:line="288" w:lineRule="auto"/>
        <w:contextualSpacing/>
        <w:jc w:val="both"/>
        <w:rPr>
          <w:color w:val="231F20"/>
          <w:sz w:val="24"/>
          <w:szCs w:val="24"/>
        </w:rPr>
      </w:pPr>
      <w:r>
        <w:rPr>
          <w:color w:val="231F20"/>
          <w:sz w:val="24"/>
          <w:szCs w:val="24"/>
        </w:rPr>
        <w:t xml:space="preserve">a) cancelamento do registro do fornecedor, nas hipóteses previstas na cláusula décima; ou </w:t>
      </w:r>
    </w:p>
    <w:p w14:paraId="311C8260">
      <w:pPr>
        <w:autoSpaceDE w:val="0"/>
        <w:autoSpaceDN w:val="0"/>
        <w:adjustRightInd w:val="0"/>
        <w:spacing w:line="288" w:lineRule="auto"/>
        <w:contextualSpacing/>
        <w:jc w:val="both"/>
        <w:rPr>
          <w:color w:val="231F20"/>
          <w:sz w:val="24"/>
          <w:szCs w:val="24"/>
        </w:rPr>
      </w:pPr>
    </w:p>
    <w:p w14:paraId="2DC26329">
      <w:pPr>
        <w:autoSpaceDE w:val="0"/>
        <w:autoSpaceDN w:val="0"/>
        <w:adjustRightInd w:val="0"/>
        <w:spacing w:line="288" w:lineRule="auto"/>
        <w:contextualSpacing/>
        <w:jc w:val="both"/>
        <w:rPr>
          <w:color w:val="231F20"/>
          <w:sz w:val="24"/>
          <w:szCs w:val="24"/>
        </w:rPr>
      </w:pPr>
      <w:r>
        <w:rPr>
          <w:color w:val="231F20"/>
          <w:sz w:val="24"/>
          <w:szCs w:val="24"/>
        </w:rPr>
        <w:t>b) cancelamento do registro de preços, nas hipóteses previstas nos arts. 28, § 4º, 29 e 31, do Decreto nº 46/2025, e itens 6.3.4 e 6.4 da cláusula sexta.</w:t>
      </w:r>
    </w:p>
    <w:p w14:paraId="1562DDE9">
      <w:pPr>
        <w:pStyle w:val="15"/>
        <w:spacing w:line="288" w:lineRule="auto"/>
        <w:contextualSpacing/>
        <w:jc w:val="both"/>
        <w:rPr>
          <w:rFonts w:ascii="Times New Roman" w:hAnsi="Times New Roman" w:cs="Times New Roman"/>
        </w:rPr>
      </w:pPr>
    </w:p>
    <w:p w14:paraId="0CE7E819">
      <w:pPr>
        <w:spacing w:line="288" w:lineRule="auto"/>
        <w:contextualSpacing/>
        <w:jc w:val="both"/>
        <w:rPr>
          <w:b/>
          <w:sz w:val="24"/>
          <w:szCs w:val="24"/>
        </w:rPr>
      </w:pPr>
      <w:r>
        <w:rPr>
          <w:b/>
          <w:sz w:val="24"/>
          <w:szCs w:val="24"/>
        </w:rPr>
        <w:t xml:space="preserve">CLÁUSULA DÉCIMA: DO CANCELAMENTO DO REGISTRO DO FORNECEDOR </w:t>
      </w:r>
    </w:p>
    <w:p w14:paraId="37BFC041">
      <w:pPr>
        <w:spacing w:line="288" w:lineRule="auto"/>
        <w:contextualSpacing/>
        <w:jc w:val="both"/>
        <w:rPr>
          <w:color w:val="231F20"/>
          <w:sz w:val="24"/>
          <w:szCs w:val="24"/>
        </w:rPr>
      </w:pPr>
    </w:p>
    <w:p w14:paraId="523F47CB">
      <w:pPr>
        <w:spacing w:line="288" w:lineRule="auto"/>
        <w:contextualSpacing/>
        <w:jc w:val="both"/>
        <w:rPr>
          <w:sz w:val="24"/>
          <w:szCs w:val="24"/>
        </w:rPr>
      </w:pPr>
      <w:r>
        <w:rPr>
          <w:color w:val="231F20"/>
          <w:sz w:val="24"/>
          <w:szCs w:val="24"/>
        </w:rPr>
        <w:t>10.1 O registro do fornecedor será cancelado quando:</w:t>
      </w:r>
    </w:p>
    <w:p w14:paraId="60B209D7">
      <w:pPr>
        <w:autoSpaceDE w:val="0"/>
        <w:autoSpaceDN w:val="0"/>
        <w:adjustRightInd w:val="0"/>
        <w:spacing w:line="288" w:lineRule="auto"/>
        <w:contextualSpacing/>
        <w:jc w:val="both"/>
        <w:rPr>
          <w:b/>
          <w:bCs/>
          <w:color w:val="231F20"/>
          <w:sz w:val="24"/>
          <w:szCs w:val="24"/>
        </w:rPr>
      </w:pPr>
    </w:p>
    <w:p w14:paraId="293067CE">
      <w:pPr>
        <w:autoSpaceDE w:val="0"/>
        <w:autoSpaceDN w:val="0"/>
        <w:adjustRightInd w:val="0"/>
        <w:spacing w:line="288" w:lineRule="auto"/>
        <w:contextualSpacing/>
        <w:jc w:val="both"/>
        <w:rPr>
          <w:color w:val="231F20"/>
          <w:sz w:val="24"/>
          <w:szCs w:val="24"/>
        </w:rPr>
      </w:pPr>
      <w:r>
        <w:rPr>
          <w:color w:val="231F20"/>
          <w:sz w:val="24"/>
          <w:szCs w:val="24"/>
        </w:rPr>
        <w:t>a) forem descumpridas as condições da ata de registro de preços, sem motivo justificado;</w:t>
      </w:r>
    </w:p>
    <w:p w14:paraId="410B167D">
      <w:pPr>
        <w:autoSpaceDE w:val="0"/>
        <w:autoSpaceDN w:val="0"/>
        <w:adjustRightInd w:val="0"/>
        <w:spacing w:line="288" w:lineRule="auto"/>
        <w:contextualSpacing/>
        <w:jc w:val="both"/>
        <w:rPr>
          <w:color w:val="231F20"/>
          <w:sz w:val="24"/>
          <w:szCs w:val="24"/>
        </w:rPr>
      </w:pPr>
    </w:p>
    <w:p w14:paraId="616A8C47">
      <w:pPr>
        <w:autoSpaceDE w:val="0"/>
        <w:autoSpaceDN w:val="0"/>
        <w:adjustRightInd w:val="0"/>
        <w:spacing w:line="288" w:lineRule="auto"/>
        <w:contextualSpacing/>
        <w:jc w:val="both"/>
        <w:rPr>
          <w:color w:val="231F20"/>
          <w:sz w:val="24"/>
          <w:szCs w:val="24"/>
        </w:rPr>
      </w:pPr>
      <w:r>
        <w:rPr>
          <w:color w:val="231F20"/>
          <w:sz w:val="24"/>
          <w:szCs w:val="24"/>
        </w:rPr>
        <w:t xml:space="preserve">b) </w:t>
      </w:r>
      <w:r>
        <w:rPr>
          <w:sz w:val="24"/>
          <w:szCs w:val="24"/>
        </w:rPr>
        <w:t>não assinar o contrato ou não retirar a nota de empenho ou instrumento equivalente no prazo estabelecido pela Administração, sem justificativa aceitável;</w:t>
      </w:r>
    </w:p>
    <w:p w14:paraId="4F947BF3">
      <w:pPr>
        <w:autoSpaceDE w:val="0"/>
        <w:autoSpaceDN w:val="0"/>
        <w:adjustRightInd w:val="0"/>
        <w:spacing w:line="288" w:lineRule="auto"/>
        <w:contextualSpacing/>
        <w:jc w:val="both"/>
        <w:rPr>
          <w:color w:val="231F20"/>
          <w:sz w:val="24"/>
          <w:szCs w:val="24"/>
        </w:rPr>
      </w:pPr>
    </w:p>
    <w:p w14:paraId="0E63F24C">
      <w:pPr>
        <w:autoSpaceDE w:val="0"/>
        <w:autoSpaceDN w:val="0"/>
        <w:adjustRightInd w:val="0"/>
        <w:spacing w:line="288" w:lineRule="auto"/>
        <w:contextualSpacing/>
        <w:jc w:val="both"/>
        <w:rPr>
          <w:color w:val="231F20"/>
          <w:sz w:val="24"/>
          <w:szCs w:val="24"/>
        </w:rPr>
      </w:pPr>
      <w:r>
        <w:rPr>
          <w:color w:val="231F20"/>
          <w:sz w:val="24"/>
          <w:szCs w:val="24"/>
        </w:rPr>
        <w:t>c) não aceitar reduzir o seu preço registrado, na hipótese deste se tornar superior àqueles praticados no mercado; ou</w:t>
      </w:r>
    </w:p>
    <w:p w14:paraId="2B52F8FF">
      <w:pPr>
        <w:autoSpaceDE w:val="0"/>
        <w:autoSpaceDN w:val="0"/>
        <w:adjustRightInd w:val="0"/>
        <w:spacing w:line="288" w:lineRule="auto"/>
        <w:contextualSpacing/>
        <w:jc w:val="both"/>
        <w:rPr>
          <w:color w:val="231F20"/>
          <w:sz w:val="24"/>
          <w:szCs w:val="24"/>
        </w:rPr>
      </w:pPr>
    </w:p>
    <w:p w14:paraId="292708A2">
      <w:pPr>
        <w:autoSpaceDE w:val="0"/>
        <w:autoSpaceDN w:val="0"/>
        <w:adjustRightInd w:val="0"/>
        <w:spacing w:line="288" w:lineRule="auto"/>
        <w:contextualSpacing/>
        <w:jc w:val="both"/>
        <w:rPr>
          <w:sz w:val="24"/>
          <w:szCs w:val="24"/>
        </w:rPr>
      </w:pPr>
      <w:r>
        <w:rPr>
          <w:color w:val="231F20"/>
          <w:sz w:val="24"/>
          <w:szCs w:val="24"/>
        </w:rPr>
        <w:t xml:space="preserve">d) </w:t>
      </w:r>
      <w:r>
        <w:rPr>
          <w:sz w:val="24"/>
          <w:szCs w:val="24"/>
        </w:rPr>
        <w:t xml:space="preserve">sofrer sanção prevista nos incisos III ou IV do </w:t>
      </w:r>
      <w:r>
        <w:rPr>
          <w:i/>
          <w:iCs/>
          <w:sz w:val="24"/>
          <w:szCs w:val="24"/>
        </w:rPr>
        <w:t>caput</w:t>
      </w:r>
      <w:r>
        <w:rPr>
          <w:sz w:val="24"/>
          <w:szCs w:val="24"/>
        </w:rPr>
        <w:t xml:space="preserve"> do art. 156 da Lei nº 14.133/2021, observado os parágrafos 4º e 5º do referido dispositivo. </w:t>
      </w:r>
    </w:p>
    <w:p w14:paraId="5982F8F4">
      <w:pPr>
        <w:autoSpaceDE w:val="0"/>
        <w:autoSpaceDN w:val="0"/>
        <w:adjustRightInd w:val="0"/>
        <w:spacing w:line="288" w:lineRule="auto"/>
        <w:contextualSpacing/>
        <w:jc w:val="both"/>
        <w:rPr>
          <w:sz w:val="24"/>
          <w:szCs w:val="24"/>
        </w:rPr>
      </w:pPr>
    </w:p>
    <w:p w14:paraId="10959B22">
      <w:pPr>
        <w:autoSpaceDE w:val="0"/>
        <w:autoSpaceDN w:val="0"/>
        <w:adjustRightInd w:val="0"/>
        <w:spacing w:line="288" w:lineRule="auto"/>
        <w:contextualSpacing/>
        <w:jc w:val="both"/>
        <w:rPr>
          <w:sz w:val="24"/>
          <w:szCs w:val="24"/>
        </w:rPr>
      </w:pPr>
      <w:r>
        <w:rPr>
          <w:sz w:val="24"/>
          <w:szCs w:val="24"/>
        </w:rPr>
        <w:t xml:space="preserve">10.2 Na hipótese de que trata a alínea d do item 10.1, caso a penalidade aplicada ao </w:t>
      </w:r>
      <w:r>
        <w:rPr>
          <w:color w:val="231F20"/>
          <w:sz w:val="24"/>
          <w:szCs w:val="24"/>
        </w:rPr>
        <w:t>fornecedor</w:t>
      </w:r>
      <w:r>
        <w:rPr>
          <w:sz w:val="24"/>
          <w:szCs w:val="24"/>
        </w:rPr>
        <w:t xml:space="preserve"> não ultrapasse o prazo de vigência da ata, poderá o gerenciador, desde que não seja o responsável pela aplicação da sanção, mediante decisão fundamentada, garantido o contraditório e a ampla defesa, decidir pela manutenção do registro de preços. </w:t>
      </w:r>
    </w:p>
    <w:p w14:paraId="566D2FCE">
      <w:pPr>
        <w:autoSpaceDE w:val="0"/>
        <w:autoSpaceDN w:val="0"/>
        <w:adjustRightInd w:val="0"/>
        <w:spacing w:line="288" w:lineRule="auto"/>
        <w:contextualSpacing/>
        <w:jc w:val="both"/>
        <w:rPr>
          <w:sz w:val="24"/>
          <w:szCs w:val="24"/>
        </w:rPr>
      </w:pPr>
    </w:p>
    <w:p w14:paraId="35CFE47A">
      <w:pPr>
        <w:autoSpaceDE w:val="0"/>
        <w:autoSpaceDN w:val="0"/>
        <w:adjustRightInd w:val="0"/>
        <w:spacing w:line="288" w:lineRule="auto"/>
        <w:contextualSpacing/>
        <w:jc w:val="both"/>
        <w:rPr>
          <w:b/>
          <w:bCs/>
          <w:color w:val="231F20"/>
          <w:sz w:val="24"/>
          <w:szCs w:val="24"/>
        </w:rPr>
      </w:pPr>
      <w:r>
        <w:rPr>
          <w:sz w:val="24"/>
          <w:szCs w:val="24"/>
        </w:rPr>
        <w:t xml:space="preserve">10.3 O cancelamento do registro nas hipóteses previstas das alíneas a, b e d do item 10.1 será formalizado por decisão do gerenciador, assegurado o contraditório e a ampla defesa ao </w:t>
      </w:r>
      <w:r>
        <w:rPr>
          <w:color w:val="231F20"/>
          <w:sz w:val="24"/>
          <w:szCs w:val="24"/>
        </w:rPr>
        <w:t>fornecedor</w:t>
      </w:r>
      <w:r>
        <w:rPr>
          <w:sz w:val="24"/>
          <w:szCs w:val="24"/>
        </w:rPr>
        <w:t>.</w:t>
      </w:r>
    </w:p>
    <w:p w14:paraId="037CF2B7">
      <w:pPr>
        <w:spacing w:line="288" w:lineRule="auto"/>
        <w:contextualSpacing/>
        <w:jc w:val="both"/>
        <w:rPr>
          <w:b/>
          <w:sz w:val="24"/>
          <w:szCs w:val="24"/>
          <w:u w:val="single"/>
        </w:rPr>
      </w:pPr>
    </w:p>
    <w:p w14:paraId="6B781A83">
      <w:pPr>
        <w:spacing w:line="288" w:lineRule="auto"/>
        <w:contextualSpacing/>
        <w:jc w:val="both"/>
        <w:rPr>
          <w:b/>
          <w:sz w:val="24"/>
          <w:szCs w:val="24"/>
        </w:rPr>
      </w:pPr>
      <w:r>
        <w:rPr>
          <w:b/>
          <w:sz w:val="24"/>
          <w:szCs w:val="24"/>
        </w:rPr>
        <w:t xml:space="preserve">CLÁUSULA DÉCIMA PRIMEIRA: DO CANCELAMENTO DO REGISTRO DE PREÇOS: </w:t>
      </w:r>
    </w:p>
    <w:p w14:paraId="799E1117">
      <w:pPr>
        <w:autoSpaceDE w:val="0"/>
        <w:autoSpaceDN w:val="0"/>
        <w:adjustRightInd w:val="0"/>
        <w:spacing w:line="288" w:lineRule="auto"/>
        <w:contextualSpacing/>
        <w:jc w:val="both"/>
        <w:rPr>
          <w:color w:val="231F20"/>
          <w:sz w:val="24"/>
          <w:szCs w:val="24"/>
        </w:rPr>
      </w:pPr>
    </w:p>
    <w:p w14:paraId="4002A926">
      <w:pPr>
        <w:autoSpaceDE w:val="0"/>
        <w:autoSpaceDN w:val="0"/>
        <w:adjustRightInd w:val="0"/>
        <w:spacing w:line="288" w:lineRule="auto"/>
        <w:contextualSpacing/>
        <w:jc w:val="both"/>
        <w:rPr>
          <w:sz w:val="24"/>
          <w:szCs w:val="24"/>
        </w:rPr>
      </w:pPr>
      <w:r>
        <w:rPr>
          <w:color w:val="231F20"/>
          <w:sz w:val="24"/>
          <w:szCs w:val="24"/>
        </w:rPr>
        <w:t>11.1 O cancelamento do registro de preços poderá ocorrer</w:t>
      </w:r>
      <w:r>
        <w:rPr>
          <w:sz w:val="24"/>
          <w:szCs w:val="24"/>
        </w:rPr>
        <w:t xml:space="preserve">, total ou parcialmente, pelo gerenciador, desde que devidamente comprovados e justificados: </w:t>
      </w:r>
    </w:p>
    <w:p w14:paraId="411FF224">
      <w:pPr>
        <w:autoSpaceDE w:val="0"/>
        <w:autoSpaceDN w:val="0"/>
        <w:adjustRightInd w:val="0"/>
        <w:spacing w:line="288" w:lineRule="auto"/>
        <w:contextualSpacing/>
        <w:jc w:val="both"/>
        <w:rPr>
          <w:sz w:val="24"/>
          <w:szCs w:val="24"/>
        </w:rPr>
      </w:pPr>
    </w:p>
    <w:p w14:paraId="01993908">
      <w:pPr>
        <w:autoSpaceDE w:val="0"/>
        <w:autoSpaceDN w:val="0"/>
        <w:adjustRightInd w:val="0"/>
        <w:spacing w:line="288" w:lineRule="auto"/>
        <w:contextualSpacing/>
        <w:jc w:val="both"/>
        <w:rPr>
          <w:sz w:val="24"/>
          <w:szCs w:val="24"/>
        </w:rPr>
      </w:pPr>
      <w:r>
        <w:rPr>
          <w:sz w:val="24"/>
          <w:szCs w:val="24"/>
        </w:rPr>
        <w:t xml:space="preserve">a)  por razão de interesse público; </w:t>
      </w:r>
    </w:p>
    <w:p w14:paraId="6E2D953C">
      <w:pPr>
        <w:autoSpaceDE w:val="0"/>
        <w:autoSpaceDN w:val="0"/>
        <w:adjustRightInd w:val="0"/>
        <w:spacing w:line="288" w:lineRule="auto"/>
        <w:contextualSpacing/>
        <w:jc w:val="both"/>
        <w:rPr>
          <w:sz w:val="24"/>
          <w:szCs w:val="24"/>
        </w:rPr>
      </w:pPr>
    </w:p>
    <w:p w14:paraId="65C31AE1">
      <w:pPr>
        <w:autoSpaceDE w:val="0"/>
        <w:autoSpaceDN w:val="0"/>
        <w:adjustRightInd w:val="0"/>
        <w:spacing w:line="288" w:lineRule="auto"/>
        <w:contextualSpacing/>
        <w:jc w:val="both"/>
        <w:rPr>
          <w:sz w:val="24"/>
          <w:szCs w:val="24"/>
        </w:rPr>
      </w:pPr>
      <w:r>
        <w:rPr>
          <w:sz w:val="24"/>
          <w:szCs w:val="24"/>
        </w:rPr>
        <w:t xml:space="preserve">b) pelo cancelamento de todos os preços registrados; ou </w:t>
      </w:r>
    </w:p>
    <w:p w14:paraId="08EB0754">
      <w:pPr>
        <w:autoSpaceDE w:val="0"/>
        <w:autoSpaceDN w:val="0"/>
        <w:adjustRightInd w:val="0"/>
        <w:spacing w:line="288" w:lineRule="auto"/>
        <w:contextualSpacing/>
        <w:jc w:val="both"/>
        <w:rPr>
          <w:sz w:val="24"/>
          <w:szCs w:val="24"/>
        </w:rPr>
      </w:pPr>
    </w:p>
    <w:p w14:paraId="3B84CFF9">
      <w:pPr>
        <w:autoSpaceDE w:val="0"/>
        <w:autoSpaceDN w:val="0"/>
        <w:adjustRightInd w:val="0"/>
        <w:spacing w:line="288" w:lineRule="auto"/>
        <w:contextualSpacing/>
        <w:jc w:val="both"/>
        <w:rPr>
          <w:sz w:val="24"/>
          <w:szCs w:val="24"/>
        </w:rPr>
      </w:pPr>
      <w:r>
        <w:rPr>
          <w:sz w:val="24"/>
          <w:szCs w:val="24"/>
        </w:rPr>
        <w:t xml:space="preserve">c) a pedido do </w:t>
      </w:r>
      <w:r>
        <w:rPr>
          <w:color w:val="231F20"/>
          <w:sz w:val="24"/>
          <w:szCs w:val="24"/>
        </w:rPr>
        <w:t>fornecedor</w:t>
      </w:r>
      <w:r>
        <w:rPr>
          <w:sz w:val="24"/>
          <w:szCs w:val="24"/>
        </w:rPr>
        <w:t>, decorrente de fato superveniente, de caso fortuito ou força maior, que prejudique o cumprimento da Ata.</w:t>
      </w:r>
    </w:p>
    <w:p w14:paraId="712B4E9C">
      <w:pPr>
        <w:spacing w:line="288" w:lineRule="auto"/>
        <w:contextualSpacing/>
        <w:jc w:val="both"/>
        <w:rPr>
          <w:sz w:val="24"/>
          <w:szCs w:val="24"/>
        </w:rPr>
      </w:pPr>
    </w:p>
    <w:p w14:paraId="257397A2">
      <w:pPr>
        <w:spacing w:line="288" w:lineRule="auto"/>
        <w:contextualSpacing/>
        <w:jc w:val="both"/>
        <w:rPr>
          <w:rFonts w:eastAsia="Arial"/>
          <w:b/>
          <w:sz w:val="24"/>
          <w:szCs w:val="24"/>
        </w:rPr>
      </w:pPr>
      <w:r>
        <w:rPr>
          <w:rFonts w:eastAsia="Arial"/>
          <w:b/>
          <w:sz w:val="24"/>
          <w:szCs w:val="24"/>
        </w:rPr>
        <w:t xml:space="preserve">CLÁUSULA DÉCIMA SEGUNDA: DOS CONTRATOS DECORRENTES DA ATA DE REGISTRO DE PREÇOS </w:t>
      </w:r>
    </w:p>
    <w:p w14:paraId="5E8CD720">
      <w:pPr>
        <w:pStyle w:val="83"/>
        <w:numPr>
          <w:ilvl w:val="1"/>
          <w:numId w:val="0"/>
        </w:numPr>
        <w:autoSpaceDE w:val="0"/>
        <w:autoSpaceDN w:val="0"/>
        <w:adjustRightInd w:val="0"/>
        <w:spacing w:before="0" w:line="288" w:lineRule="auto"/>
        <w:contextualSpacing/>
        <w:rPr>
          <w:rFonts w:ascii="Times New Roman" w:hAnsi="Times New Roman" w:cs="Times New Roman"/>
          <w:sz w:val="24"/>
          <w:szCs w:val="24"/>
        </w:rPr>
      </w:pPr>
    </w:p>
    <w:p w14:paraId="5C25C615">
      <w:pPr>
        <w:pStyle w:val="83"/>
        <w:numPr>
          <w:ilvl w:val="1"/>
          <w:numId w:val="0"/>
        </w:numPr>
        <w:autoSpaceDE w:val="0"/>
        <w:autoSpaceDN w:val="0"/>
        <w:adjustRightInd w:val="0"/>
        <w:spacing w:before="0" w:after="0" w:line="288" w:lineRule="auto"/>
        <w:contextualSpacing/>
        <w:rPr>
          <w:rFonts w:ascii="Times New Roman" w:hAnsi="Times New Roman" w:cs="Times New Roman"/>
          <w:b/>
          <w:sz w:val="24"/>
          <w:szCs w:val="24"/>
          <w:highlight w:val="yellow"/>
        </w:rPr>
      </w:pPr>
      <w:r>
        <w:rPr>
          <w:rFonts w:ascii="Times New Roman" w:hAnsi="Times New Roman" w:cs="Times New Roman"/>
          <w:sz w:val="24"/>
          <w:szCs w:val="24"/>
        </w:rPr>
        <w:t xml:space="preserve">12.1 As </w:t>
      </w:r>
      <w:bookmarkStart w:id="47" w:name="_Hlk158816472"/>
      <w:r>
        <w:rPr>
          <w:rFonts w:ascii="Times New Roman" w:hAnsi="Times New Roman" w:cs="Times New Roman"/>
          <w:sz w:val="24"/>
          <w:szCs w:val="24"/>
        </w:rPr>
        <w:t xml:space="preserve">condições gerais de execução do objeto, tais como os prazos para entrega e recebimento, as obrigações da Administração e do </w:t>
      </w:r>
      <w:r>
        <w:rPr>
          <w:rFonts w:ascii="Times New Roman" w:hAnsi="Times New Roman" w:cs="Times New Roman"/>
          <w:color w:val="231F20"/>
          <w:sz w:val="24"/>
          <w:szCs w:val="24"/>
        </w:rPr>
        <w:t>fornecedor</w:t>
      </w:r>
      <w:r>
        <w:rPr>
          <w:rFonts w:ascii="Times New Roman" w:hAnsi="Times New Roman" w:cs="Times New Roman"/>
          <w:sz w:val="24"/>
          <w:szCs w:val="24"/>
        </w:rPr>
        <w:t xml:space="preserve"> registrado, penalidades e demais condições do ajuste, inclusive, o prazo de vigência dos contratos a serem celebrados, a garantia, o pagamento, o reajuste ou repactuação, encontram-se definidos no instrumento convocatório, quando houver,</w:t>
      </w:r>
      <w:r>
        <w:rPr>
          <w:rFonts w:ascii="Times New Roman" w:hAnsi="Times New Roman" w:eastAsia="Arial" w:cs="Times New Roman"/>
          <w:sz w:val="24"/>
          <w:szCs w:val="24"/>
        </w:rPr>
        <w:t xml:space="preserve"> </w:t>
      </w:r>
      <w:r>
        <w:rPr>
          <w:rFonts w:ascii="Times New Roman" w:hAnsi="Times New Roman" w:cs="Times New Roman"/>
          <w:color w:val="231F20"/>
          <w:sz w:val="24"/>
          <w:szCs w:val="24"/>
        </w:rPr>
        <w:t>no Termo de Referência e no contrato</w:t>
      </w:r>
      <w:bookmarkEnd w:id="47"/>
      <w:r>
        <w:rPr>
          <w:rFonts w:ascii="Times New Roman" w:hAnsi="Times New Roman" w:cs="Times New Roman"/>
          <w:color w:val="231F20"/>
          <w:sz w:val="24"/>
          <w:szCs w:val="24"/>
        </w:rPr>
        <w:t>.</w:t>
      </w:r>
    </w:p>
    <w:p w14:paraId="302CFD34">
      <w:pPr>
        <w:tabs>
          <w:tab w:val="left" w:pos="1404"/>
        </w:tabs>
        <w:spacing w:line="288" w:lineRule="auto"/>
        <w:contextualSpacing/>
        <w:jc w:val="both"/>
        <w:rPr>
          <w:rFonts w:eastAsia="Arial"/>
          <w:sz w:val="24"/>
          <w:szCs w:val="24"/>
        </w:rPr>
      </w:pPr>
    </w:p>
    <w:p w14:paraId="48FA8B1B">
      <w:pPr>
        <w:tabs>
          <w:tab w:val="left" w:pos="1404"/>
        </w:tabs>
        <w:spacing w:line="288" w:lineRule="auto"/>
        <w:contextualSpacing/>
        <w:jc w:val="both"/>
        <w:rPr>
          <w:rFonts w:eastAsia="Arial"/>
          <w:sz w:val="24"/>
          <w:szCs w:val="24"/>
        </w:rPr>
      </w:pPr>
      <w:r>
        <w:rPr>
          <w:rFonts w:eastAsia="Arial"/>
          <w:sz w:val="24"/>
          <w:szCs w:val="24"/>
        </w:rPr>
        <w:t xml:space="preserve">12.1.1 </w:t>
      </w:r>
      <w:r>
        <w:rPr>
          <w:sz w:val="24"/>
          <w:szCs w:val="24"/>
        </w:rPr>
        <w:t>Os contratos decorrentes de registro de preços poderão ser alterados, observado o disposto no art. 124 da Lei nº 14.133/2021.</w:t>
      </w:r>
    </w:p>
    <w:p w14:paraId="4EB77522">
      <w:pPr>
        <w:tabs>
          <w:tab w:val="left" w:pos="1404"/>
        </w:tabs>
        <w:spacing w:line="288" w:lineRule="auto"/>
        <w:contextualSpacing/>
        <w:jc w:val="both"/>
        <w:rPr>
          <w:rFonts w:eastAsia="Arial"/>
          <w:sz w:val="24"/>
          <w:szCs w:val="24"/>
        </w:rPr>
      </w:pPr>
    </w:p>
    <w:p w14:paraId="6F156986">
      <w:pPr>
        <w:tabs>
          <w:tab w:val="left" w:pos="1404"/>
        </w:tabs>
        <w:spacing w:line="288" w:lineRule="auto"/>
        <w:contextualSpacing/>
        <w:jc w:val="both"/>
        <w:rPr>
          <w:color w:val="000000" w:themeColor="text1"/>
          <w:sz w:val="24"/>
          <w:szCs w:val="24"/>
          <w14:textFill>
            <w14:solidFill>
              <w14:schemeClr w14:val="tx1"/>
            </w14:solidFill>
          </w14:textFill>
        </w:rPr>
      </w:pPr>
      <w:r>
        <w:rPr>
          <w:rFonts w:eastAsia="Arial"/>
          <w:sz w:val="24"/>
          <w:szCs w:val="24"/>
        </w:rPr>
        <w:t xml:space="preserve">12.2 </w:t>
      </w:r>
      <w:r>
        <w:rPr>
          <w:sz w:val="24"/>
          <w:szCs w:val="24"/>
        </w:rPr>
        <w:t xml:space="preserve">A contratação realizada pelo </w:t>
      </w:r>
      <w:r>
        <w:rPr>
          <w:bCs/>
          <w:sz w:val="24"/>
          <w:szCs w:val="24"/>
        </w:rPr>
        <w:t>gerenciador e pelos participantes</w:t>
      </w:r>
      <w:r>
        <w:rPr>
          <w:b/>
          <w:sz w:val="24"/>
          <w:szCs w:val="24"/>
        </w:rPr>
        <w:t xml:space="preserve"> </w:t>
      </w:r>
      <w:r>
        <w:rPr>
          <w:sz w:val="24"/>
          <w:szCs w:val="24"/>
        </w:rPr>
        <w:t xml:space="preserve">será formalizada, dentro do prazo de validade da Ata de Registro de Preços, por intermédio de </w:t>
      </w:r>
      <w:r>
        <w:rPr>
          <w:color w:val="000000" w:themeColor="text1"/>
          <w:sz w:val="24"/>
          <w:szCs w:val="24"/>
          <w14:textFill>
            <w14:solidFill>
              <w14:schemeClr w14:val="tx1"/>
            </w14:solidFill>
          </w14:textFill>
        </w:rPr>
        <w:t>instrumento contratual A</w:t>
      </w:r>
      <w:r>
        <w:rPr>
          <w:bCs/>
          <w:color w:val="000000" w:themeColor="text1"/>
          <w:sz w:val="24"/>
          <w:szCs w:val="24"/>
          <w14:textFill>
            <w14:solidFill>
              <w14:schemeClr w14:val="tx1"/>
            </w14:solidFill>
          </w14:textFill>
        </w:rPr>
        <w:t>nexo IX do Edital – Minuta de Contrato</w:t>
      </w:r>
      <w:r>
        <w:rPr>
          <w:color w:val="000000" w:themeColor="text1"/>
          <w:sz w:val="24"/>
          <w:szCs w:val="24"/>
          <w14:textFill>
            <w14:solidFill>
              <w14:schemeClr w14:val="tx1"/>
            </w14:solidFill>
          </w14:textFill>
        </w:rPr>
        <w:t>.</w:t>
      </w:r>
    </w:p>
    <w:p w14:paraId="237E2128">
      <w:pPr>
        <w:tabs>
          <w:tab w:val="left" w:pos="0"/>
        </w:tabs>
        <w:spacing w:line="360" w:lineRule="auto"/>
        <w:jc w:val="both"/>
        <w:rPr>
          <w:sz w:val="24"/>
          <w:szCs w:val="24"/>
          <w:highlight w:val="yellow"/>
        </w:rPr>
      </w:pPr>
    </w:p>
    <w:p w14:paraId="38CACF87">
      <w:pPr>
        <w:spacing w:line="288" w:lineRule="auto"/>
        <w:contextualSpacing/>
        <w:jc w:val="both"/>
        <w:rPr>
          <w:b/>
          <w:bCs/>
          <w:sz w:val="24"/>
          <w:szCs w:val="24"/>
        </w:rPr>
      </w:pPr>
      <w:r>
        <w:rPr>
          <w:b/>
          <w:bCs/>
          <w:sz w:val="24"/>
          <w:szCs w:val="24"/>
        </w:rPr>
        <w:t>CLÁUSULA DÉCIMA TERCEIRA: DAS INFRAÇÕES ADMINISTRATIVAS E SANÇÕES</w:t>
      </w:r>
    </w:p>
    <w:p w14:paraId="57883945">
      <w:pPr>
        <w:spacing w:line="288" w:lineRule="auto"/>
        <w:contextualSpacing/>
        <w:jc w:val="both"/>
        <w:rPr>
          <w:sz w:val="24"/>
          <w:szCs w:val="24"/>
        </w:rPr>
      </w:pPr>
    </w:p>
    <w:p w14:paraId="2009F3FF">
      <w:pPr>
        <w:pStyle w:val="83"/>
        <w:numPr>
          <w:ilvl w:val="1"/>
          <w:numId w:val="0"/>
        </w:numPr>
        <w:autoSpaceDE w:val="0"/>
        <w:autoSpaceDN w:val="0"/>
        <w:adjustRightInd w:val="0"/>
        <w:spacing w:after="0" w:line="288" w:lineRule="auto"/>
        <w:contextualSpacing/>
        <w:rPr>
          <w:rFonts w:ascii="Times New Roman" w:hAnsi="Times New Roman" w:cs="Times New Roman"/>
          <w:sz w:val="24"/>
          <w:szCs w:val="24"/>
        </w:rPr>
      </w:pPr>
      <w:r>
        <w:rPr>
          <w:rFonts w:ascii="Times New Roman" w:hAnsi="Times New Roman" w:cs="Times New Roman"/>
          <w:sz w:val="24"/>
          <w:szCs w:val="24"/>
        </w:rPr>
        <w:t>13.1 O descumprimento da Ata de Registro de Preços ensejará a aplicação das penalidades estabelecidas no instrumento convocatório, quando houver,</w:t>
      </w:r>
      <w:r>
        <w:rPr>
          <w:rFonts w:ascii="Times New Roman" w:hAnsi="Times New Roman" w:eastAsia="Arial" w:cs="Times New Roman"/>
          <w:sz w:val="24"/>
          <w:szCs w:val="24"/>
        </w:rPr>
        <w:t xml:space="preserve"> e no Termo de Referência</w:t>
      </w:r>
      <w:r>
        <w:rPr>
          <w:rFonts w:ascii="Times New Roman" w:hAnsi="Times New Roman" w:cs="Times New Roman"/>
          <w:sz w:val="24"/>
          <w:szCs w:val="24"/>
        </w:rPr>
        <w:t>.</w:t>
      </w:r>
    </w:p>
    <w:p w14:paraId="38E22EA4">
      <w:pPr>
        <w:spacing w:line="288" w:lineRule="auto"/>
        <w:contextualSpacing/>
        <w:jc w:val="both"/>
        <w:rPr>
          <w:sz w:val="24"/>
          <w:szCs w:val="24"/>
        </w:rPr>
      </w:pPr>
    </w:p>
    <w:p w14:paraId="58241B79">
      <w:pPr>
        <w:spacing w:line="288" w:lineRule="auto"/>
        <w:contextualSpacing/>
        <w:jc w:val="both"/>
        <w:rPr>
          <w:sz w:val="24"/>
          <w:szCs w:val="24"/>
        </w:rPr>
      </w:pPr>
      <w:r>
        <w:rPr>
          <w:sz w:val="24"/>
          <w:szCs w:val="24"/>
        </w:rPr>
        <w:t>13.2 Compete ao gerenciador aplicar, garantida a ampla defesa e o contraditório, as penalidades decorrentes do descumprimento do pactuado na Ata de Registro de Preços ou do descumprimento das obrigações contratuais, em relação às suas próprias contratações, e promover as publicações, encaminhamentos e registros cabíveis.</w:t>
      </w:r>
    </w:p>
    <w:p w14:paraId="7C3EDF40">
      <w:pPr>
        <w:spacing w:line="288" w:lineRule="auto"/>
        <w:contextualSpacing/>
        <w:jc w:val="both"/>
        <w:rPr>
          <w:sz w:val="24"/>
          <w:szCs w:val="24"/>
        </w:rPr>
      </w:pPr>
    </w:p>
    <w:p w14:paraId="1307827A">
      <w:pPr>
        <w:spacing w:line="288" w:lineRule="auto"/>
        <w:contextualSpacing/>
        <w:jc w:val="both"/>
        <w:rPr>
          <w:sz w:val="24"/>
          <w:szCs w:val="24"/>
        </w:rPr>
      </w:pPr>
      <w:r>
        <w:rPr>
          <w:sz w:val="24"/>
          <w:szCs w:val="24"/>
        </w:rPr>
        <w:t xml:space="preserve">13.3 Compete aos participantes e aos </w:t>
      </w:r>
      <w:r>
        <w:rPr>
          <w:bCs/>
          <w:color w:val="231F20"/>
          <w:sz w:val="24"/>
          <w:szCs w:val="24"/>
        </w:rPr>
        <w:t xml:space="preserve">não-participantes </w:t>
      </w:r>
      <w:r>
        <w:rPr>
          <w:sz w:val="24"/>
          <w:szCs w:val="24"/>
        </w:rPr>
        <w:t>aplicar, garantida a ampla defesa e o contraditório, as penalidades decorrentes do descumprimento das obrigações contratuais, em relação às suas próprias contratações, e promover as publicações, encaminhamentos e registros cabíveis.</w:t>
      </w:r>
    </w:p>
    <w:p w14:paraId="22254F46">
      <w:pPr>
        <w:spacing w:line="288" w:lineRule="auto"/>
        <w:contextualSpacing/>
        <w:jc w:val="both"/>
        <w:rPr>
          <w:sz w:val="24"/>
          <w:szCs w:val="24"/>
        </w:rPr>
      </w:pPr>
    </w:p>
    <w:p w14:paraId="0C5EF8D0">
      <w:pPr>
        <w:spacing w:line="288" w:lineRule="auto"/>
        <w:contextualSpacing/>
        <w:jc w:val="both"/>
        <w:rPr>
          <w:sz w:val="24"/>
          <w:szCs w:val="24"/>
        </w:rPr>
      </w:pPr>
      <w:r>
        <w:rPr>
          <w:sz w:val="24"/>
          <w:szCs w:val="24"/>
        </w:rPr>
        <w:t>13.5 A aplicação das penalidades deverá observar o procedimento estabelecido no instrumento convocatório e contrato, quando houver,</w:t>
      </w:r>
      <w:r>
        <w:rPr>
          <w:rFonts w:eastAsia="Arial"/>
          <w:sz w:val="24"/>
          <w:szCs w:val="24"/>
        </w:rPr>
        <w:t xml:space="preserve"> e no Termo de Referência</w:t>
      </w:r>
      <w:r>
        <w:rPr>
          <w:sz w:val="24"/>
          <w:szCs w:val="24"/>
        </w:rPr>
        <w:t>.</w:t>
      </w:r>
    </w:p>
    <w:p w14:paraId="327C08DF">
      <w:pPr>
        <w:spacing w:line="288" w:lineRule="auto"/>
        <w:contextualSpacing/>
        <w:jc w:val="both"/>
        <w:rPr>
          <w:sz w:val="24"/>
          <w:szCs w:val="24"/>
        </w:rPr>
      </w:pPr>
    </w:p>
    <w:p w14:paraId="5B6D2D86">
      <w:pPr>
        <w:spacing w:line="288" w:lineRule="auto"/>
        <w:contextualSpacing/>
        <w:jc w:val="both"/>
        <w:rPr>
          <w:rFonts w:eastAsia="Arial"/>
          <w:b/>
          <w:sz w:val="24"/>
          <w:szCs w:val="24"/>
        </w:rPr>
      </w:pPr>
      <w:r>
        <w:rPr>
          <w:rFonts w:eastAsia="Arial"/>
          <w:b/>
          <w:sz w:val="24"/>
          <w:szCs w:val="24"/>
        </w:rPr>
        <w:t>CLÁUSULA DÉCIMA QUARTA: DOS RECURSOS ORÇAMENTÁRIOS</w:t>
      </w:r>
    </w:p>
    <w:p w14:paraId="067857B5">
      <w:pPr>
        <w:spacing w:line="288" w:lineRule="auto"/>
        <w:contextualSpacing/>
        <w:jc w:val="both"/>
        <w:rPr>
          <w:rFonts w:eastAsia="Arial"/>
          <w:sz w:val="24"/>
          <w:szCs w:val="24"/>
        </w:rPr>
      </w:pPr>
    </w:p>
    <w:p w14:paraId="51C96F0E">
      <w:pPr>
        <w:spacing w:line="288" w:lineRule="auto"/>
        <w:contextualSpacing/>
        <w:jc w:val="both"/>
        <w:rPr>
          <w:bCs/>
          <w:sz w:val="24"/>
          <w:szCs w:val="24"/>
        </w:rPr>
      </w:pPr>
      <w:r>
        <w:rPr>
          <w:rFonts w:eastAsia="Arial"/>
          <w:sz w:val="24"/>
          <w:szCs w:val="24"/>
        </w:rPr>
        <w:t xml:space="preserve">14.1 Os recursos necessários para as contratações decorrentes desta Ata de Registro de Preços correrão por conta da Natureza da Despesa e do Programa de Trabalho próprios do </w:t>
      </w:r>
      <w:r>
        <w:rPr>
          <w:bCs/>
          <w:sz w:val="24"/>
          <w:szCs w:val="24"/>
        </w:rPr>
        <w:t>gerenciador, dos participantes e dos não-participantes.</w:t>
      </w:r>
    </w:p>
    <w:p w14:paraId="37B63DAF">
      <w:pPr>
        <w:spacing w:line="288" w:lineRule="auto"/>
        <w:contextualSpacing/>
        <w:jc w:val="both"/>
        <w:rPr>
          <w:b/>
          <w:sz w:val="24"/>
          <w:szCs w:val="24"/>
          <w:highlight w:val="yellow"/>
        </w:rPr>
      </w:pPr>
    </w:p>
    <w:p w14:paraId="656934FE">
      <w:pPr>
        <w:spacing w:line="288" w:lineRule="auto"/>
        <w:contextualSpacing/>
        <w:jc w:val="both"/>
        <w:rPr>
          <w:b/>
          <w:sz w:val="24"/>
          <w:szCs w:val="24"/>
        </w:rPr>
      </w:pPr>
      <w:r>
        <w:rPr>
          <w:b/>
          <w:sz w:val="24"/>
          <w:szCs w:val="24"/>
        </w:rPr>
        <w:t>CLÁUSULA DÉCIMA QUINTA:</w:t>
      </w:r>
      <w:r>
        <w:rPr>
          <w:rFonts w:eastAsia="Arial"/>
          <w:b/>
          <w:sz w:val="24"/>
          <w:szCs w:val="24"/>
        </w:rPr>
        <w:t xml:space="preserve"> </w:t>
      </w:r>
      <w:r>
        <w:rPr>
          <w:b/>
          <w:sz w:val="24"/>
          <w:szCs w:val="24"/>
        </w:rPr>
        <w:t>DO FORO DE ELEIÇÃO</w:t>
      </w:r>
    </w:p>
    <w:p w14:paraId="1022ECFC">
      <w:pPr>
        <w:spacing w:line="288" w:lineRule="auto"/>
        <w:contextualSpacing/>
        <w:jc w:val="both"/>
        <w:rPr>
          <w:sz w:val="24"/>
          <w:szCs w:val="24"/>
        </w:rPr>
      </w:pPr>
    </w:p>
    <w:p w14:paraId="26EA4AED">
      <w:pPr>
        <w:spacing w:line="288" w:lineRule="auto"/>
        <w:contextualSpacing/>
        <w:jc w:val="both"/>
        <w:rPr>
          <w:sz w:val="24"/>
          <w:szCs w:val="24"/>
        </w:rPr>
      </w:pPr>
      <w:r>
        <w:rPr>
          <w:sz w:val="24"/>
          <w:szCs w:val="24"/>
        </w:rPr>
        <w:t xml:space="preserve">15.1 Fica eleito o Foro da Comarca de Valença RJ para dirimir qualquer litígio decorrente da presente Ata de Registro de Preços que não possa ser resolvido por meio amigável, com expressa renúncia a qualquer outro, por mais privilegiado que seja. </w:t>
      </w:r>
    </w:p>
    <w:p w14:paraId="0549359A">
      <w:pPr>
        <w:widowControl w:val="0"/>
        <w:autoSpaceDE w:val="0"/>
        <w:autoSpaceDN w:val="0"/>
        <w:adjustRightInd w:val="0"/>
        <w:spacing w:before="120" w:after="120" w:line="288" w:lineRule="auto"/>
        <w:contextualSpacing/>
        <w:jc w:val="both"/>
        <w:rPr>
          <w:sz w:val="24"/>
          <w:szCs w:val="24"/>
        </w:rPr>
      </w:pPr>
    </w:p>
    <w:p w14:paraId="6499FDB4">
      <w:pPr>
        <w:widowControl w:val="0"/>
        <w:autoSpaceDE w:val="0"/>
        <w:autoSpaceDN w:val="0"/>
        <w:adjustRightInd w:val="0"/>
        <w:spacing w:before="120" w:after="120" w:line="288" w:lineRule="auto"/>
        <w:contextualSpacing/>
        <w:jc w:val="both"/>
        <w:rPr>
          <w:i/>
          <w:iCs/>
          <w:color w:val="FF0000"/>
          <w:sz w:val="24"/>
          <w:szCs w:val="24"/>
        </w:rPr>
      </w:pPr>
      <w:r>
        <w:rPr>
          <w:sz w:val="24"/>
          <w:szCs w:val="24"/>
        </w:rPr>
        <w:t xml:space="preserve">Para firmeza e validade do pactuado, a presente Ata foi lavrada em 02 (duas) vias de igual teor, que, depois de lida e achada em ordem, vai assinada pelas partes e encaminhada cópia aos demais órgãos participantes. </w:t>
      </w:r>
    </w:p>
    <w:p w14:paraId="02A6DB67">
      <w:pPr>
        <w:spacing w:line="288" w:lineRule="auto"/>
        <w:contextualSpacing/>
        <w:jc w:val="both"/>
        <w:rPr>
          <w:sz w:val="24"/>
          <w:szCs w:val="24"/>
        </w:rPr>
      </w:pPr>
    </w:p>
    <w:p w14:paraId="563BBF4E">
      <w:pPr>
        <w:spacing w:line="288" w:lineRule="auto"/>
        <w:contextualSpacing/>
        <w:jc w:val="both"/>
        <w:rPr>
          <w:sz w:val="24"/>
          <w:szCs w:val="24"/>
        </w:rPr>
      </w:pPr>
    </w:p>
    <w:p w14:paraId="4D26F8B7">
      <w:pPr>
        <w:pStyle w:val="83"/>
        <w:spacing w:before="0" w:after="0" w:line="288" w:lineRule="auto"/>
        <w:ind w:left="0" w:firstLine="567"/>
        <w:contextualSpacing/>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Valença, xxx de xxx de 2026</w:t>
      </w:r>
    </w:p>
    <w:p w14:paraId="6B206C1B">
      <w:pPr>
        <w:pStyle w:val="83"/>
        <w:spacing w:before="0" w:after="0" w:line="288" w:lineRule="auto"/>
        <w:ind w:left="0" w:firstLine="567"/>
        <w:contextualSpacing/>
        <w:jc w:val="center"/>
        <w:rPr>
          <w:rFonts w:ascii="Times New Roman" w:hAnsi="Times New Roman" w:cs="Times New Roman"/>
          <w:color w:val="FF0000"/>
          <w:sz w:val="24"/>
          <w:szCs w:val="24"/>
        </w:rPr>
      </w:pPr>
    </w:p>
    <w:p w14:paraId="55E029AA">
      <w:pPr>
        <w:pStyle w:val="83"/>
        <w:spacing w:before="0" w:after="0" w:line="288" w:lineRule="auto"/>
        <w:ind w:left="0" w:firstLine="567"/>
        <w:contextualSpacing/>
        <w:jc w:val="center"/>
        <w:rPr>
          <w:rFonts w:ascii="Times New Roman" w:hAnsi="Times New Roman" w:cs="Times New Roman"/>
          <w:color w:val="auto"/>
          <w:sz w:val="24"/>
          <w:szCs w:val="24"/>
        </w:rPr>
      </w:pPr>
    </w:p>
    <w:p w14:paraId="13AB414B">
      <w:pPr>
        <w:spacing w:line="288" w:lineRule="auto"/>
        <w:ind w:firstLine="567"/>
        <w:contextualSpacing/>
        <w:jc w:val="center"/>
        <w:rPr>
          <w:bCs/>
          <w:sz w:val="24"/>
          <w:szCs w:val="24"/>
        </w:rPr>
      </w:pPr>
      <w:r>
        <w:rPr>
          <w:bCs/>
          <w:sz w:val="24"/>
          <w:szCs w:val="24"/>
        </w:rPr>
        <w:t>_________________________</w:t>
      </w:r>
    </w:p>
    <w:p w14:paraId="2BF48841">
      <w:pPr>
        <w:spacing w:line="288" w:lineRule="auto"/>
        <w:ind w:firstLine="567"/>
        <w:contextualSpacing/>
        <w:jc w:val="center"/>
        <w:rPr>
          <w:sz w:val="24"/>
          <w:szCs w:val="24"/>
        </w:rPr>
      </w:pPr>
      <w:r>
        <w:rPr>
          <w:sz w:val="24"/>
          <w:szCs w:val="24"/>
        </w:rPr>
        <w:t>xxxx</w:t>
      </w:r>
    </w:p>
    <w:p w14:paraId="5F1BED51">
      <w:pPr>
        <w:spacing w:line="288" w:lineRule="auto"/>
        <w:ind w:firstLine="567"/>
        <w:contextualSpacing/>
        <w:jc w:val="center"/>
        <w:rPr>
          <w:sz w:val="24"/>
          <w:szCs w:val="24"/>
        </w:rPr>
      </w:pPr>
      <w:r>
        <w:rPr>
          <w:sz w:val="24"/>
          <w:szCs w:val="24"/>
        </w:rPr>
        <w:t xml:space="preserve">Secretário Municipal de Assistência, </w:t>
      </w:r>
    </w:p>
    <w:p w14:paraId="26749101">
      <w:pPr>
        <w:spacing w:line="288" w:lineRule="auto"/>
        <w:ind w:firstLine="567"/>
        <w:contextualSpacing/>
        <w:jc w:val="center"/>
        <w:rPr>
          <w:bCs/>
          <w:sz w:val="24"/>
          <w:szCs w:val="24"/>
        </w:rPr>
      </w:pPr>
      <w:r>
        <w:rPr>
          <w:sz w:val="24"/>
          <w:szCs w:val="24"/>
        </w:rPr>
        <w:t>Esporte e Envelhecimento saudável</w:t>
      </w:r>
    </w:p>
    <w:p w14:paraId="4D6C361C">
      <w:pPr>
        <w:spacing w:line="288" w:lineRule="auto"/>
        <w:ind w:firstLine="567"/>
        <w:contextualSpacing/>
        <w:jc w:val="center"/>
        <w:rPr>
          <w:bCs/>
          <w:sz w:val="24"/>
          <w:szCs w:val="24"/>
        </w:rPr>
      </w:pPr>
      <w:r>
        <w:rPr>
          <w:bCs/>
          <w:sz w:val="24"/>
          <w:szCs w:val="24"/>
        </w:rPr>
        <w:t>MUNICÍPIO DE VALENÇA</w:t>
      </w:r>
    </w:p>
    <w:p w14:paraId="4B64A969">
      <w:pPr>
        <w:spacing w:line="288" w:lineRule="auto"/>
        <w:ind w:firstLine="567"/>
        <w:contextualSpacing/>
        <w:jc w:val="center"/>
        <w:rPr>
          <w:bCs/>
          <w:sz w:val="24"/>
          <w:szCs w:val="24"/>
        </w:rPr>
      </w:pPr>
    </w:p>
    <w:p w14:paraId="6FC407CB">
      <w:pPr>
        <w:spacing w:line="288" w:lineRule="auto"/>
        <w:ind w:firstLine="567"/>
        <w:contextualSpacing/>
        <w:jc w:val="center"/>
        <w:rPr>
          <w:sz w:val="24"/>
          <w:szCs w:val="24"/>
        </w:rPr>
      </w:pPr>
      <w:r>
        <w:rPr>
          <w:sz w:val="24"/>
          <w:szCs w:val="24"/>
        </w:rPr>
        <w:t>_________________________</w:t>
      </w:r>
    </w:p>
    <w:p w14:paraId="4E6BF11A">
      <w:pPr>
        <w:spacing w:line="288" w:lineRule="auto"/>
        <w:ind w:firstLine="567"/>
        <w:contextualSpacing/>
        <w:jc w:val="center"/>
        <w:rPr>
          <w:sz w:val="24"/>
          <w:szCs w:val="24"/>
        </w:rPr>
      </w:pPr>
      <w:r>
        <w:rPr>
          <w:bCs/>
          <w:sz w:val="24"/>
          <w:szCs w:val="24"/>
        </w:rPr>
        <w:t>Representante</w:t>
      </w:r>
      <w:r>
        <w:rPr>
          <w:sz w:val="24"/>
          <w:szCs w:val="24"/>
        </w:rPr>
        <w:t xml:space="preserve"> legal do CONTRATADO</w:t>
      </w:r>
    </w:p>
    <w:p w14:paraId="1E0D641D">
      <w:pPr>
        <w:spacing w:line="288" w:lineRule="auto"/>
        <w:contextualSpacing/>
        <w:jc w:val="both"/>
        <w:rPr>
          <w:color w:val="FF0000"/>
          <w:sz w:val="24"/>
          <w:szCs w:val="24"/>
        </w:rPr>
      </w:pPr>
    </w:p>
    <w:p w14:paraId="02C67512">
      <w:pPr>
        <w:spacing w:line="288" w:lineRule="auto"/>
        <w:contextualSpacing/>
        <w:jc w:val="both"/>
        <w:rPr>
          <w:sz w:val="24"/>
          <w:szCs w:val="24"/>
        </w:rPr>
      </w:pPr>
      <w:r>
        <w:rPr>
          <w:sz w:val="24"/>
          <w:szCs w:val="24"/>
        </w:rPr>
        <w:t>TESTEMUNHAS:</w:t>
      </w:r>
    </w:p>
    <w:p w14:paraId="1285E06D">
      <w:pPr>
        <w:spacing w:line="288" w:lineRule="auto"/>
        <w:contextualSpacing/>
        <w:rPr>
          <w:sz w:val="24"/>
          <w:szCs w:val="24"/>
        </w:rPr>
      </w:pPr>
      <w:r>
        <w:rPr>
          <w:sz w:val="24"/>
          <w:szCs w:val="24"/>
        </w:rPr>
        <w:t>1-</w:t>
      </w:r>
    </w:p>
    <w:p w14:paraId="34FF6182">
      <w:pPr>
        <w:spacing w:line="288" w:lineRule="auto"/>
        <w:contextualSpacing/>
        <w:rPr>
          <w:sz w:val="24"/>
          <w:szCs w:val="24"/>
        </w:rPr>
      </w:pPr>
      <w:r>
        <w:rPr>
          <w:sz w:val="24"/>
          <w:szCs w:val="24"/>
        </w:rPr>
        <w:t xml:space="preserve">2- </w:t>
      </w:r>
    </w:p>
    <w:p w14:paraId="444C93A4">
      <w:pPr>
        <w:spacing w:line="360" w:lineRule="auto"/>
        <w:jc w:val="both"/>
        <w:rPr>
          <w:b/>
          <w:sz w:val="24"/>
          <w:szCs w:val="24"/>
        </w:rPr>
      </w:pPr>
    </w:p>
    <w:p w14:paraId="4B60840F">
      <w:pPr>
        <w:spacing w:line="360" w:lineRule="auto"/>
        <w:jc w:val="both"/>
        <w:rPr>
          <w:b/>
          <w:sz w:val="24"/>
          <w:szCs w:val="24"/>
        </w:rPr>
      </w:pPr>
    </w:p>
    <w:p w14:paraId="1AC79313">
      <w:pPr>
        <w:spacing w:line="360" w:lineRule="auto"/>
        <w:jc w:val="both"/>
        <w:rPr>
          <w:b/>
          <w:sz w:val="24"/>
          <w:szCs w:val="24"/>
        </w:rPr>
      </w:pPr>
    </w:p>
    <w:p w14:paraId="498364C1">
      <w:pPr>
        <w:spacing w:line="360" w:lineRule="auto"/>
        <w:jc w:val="both"/>
        <w:rPr>
          <w:b/>
          <w:sz w:val="24"/>
          <w:szCs w:val="24"/>
        </w:rPr>
      </w:pPr>
    </w:p>
    <w:p w14:paraId="48C8C522">
      <w:pPr>
        <w:spacing w:line="360" w:lineRule="auto"/>
        <w:jc w:val="both"/>
        <w:rPr>
          <w:b/>
          <w:sz w:val="24"/>
          <w:szCs w:val="24"/>
        </w:rPr>
      </w:pPr>
      <w:r>
        <w:rPr>
          <w:b/>
          <w:sz w:val="24"/>
          <w:szCs w:val="24"/>
        </w:rPr>
        <w:t xml:space="preserve">Anexos: </w:t>
      </w:r>
    </w:p>
    <w:p w14:paraId="593F78ED">
      <w:pPr>
        <w:spacing w:line="360" w:lineRule="auto"/>
        <w:jc w:val="both"/>
        <w:rPr>
          <w:sz w:val="24"/>
          <w:szCs w:val="24"/>
        </w:rPr>
      </w:pPr>
      <w:r>
        <w:rPr>
          <w:sz w:val="24"/>
          <w:szCs w:val="24"/>
        </w:rPr>
        <w:t>Anexo I – Consolidação das Informações da Ata de Registro de Preços</w:t>
      </w:r>
    </w:p>
    <w:p w14:paraId="730EF230">
      <w:pPr>
        <w:spacing w:line="360" w:lineRule="auto"/>
        <w:jc w:val="both"/>
        <w:rPr>
          <w:sz w:val="24"/>
          <w:szCs w:val="24"/>
        </w:rPr>
      </w:pPr>
      <w:r>
        <w:rPr>
          <w:sz w:val="24"/>
          <w:szCs w:val="24"/>
        </w:rPr>
        <w:t xml:space="preserve">Anexo II – Cadastro de Reserva </w:t>
      </w:r>
    </w:p>
    <w:p w14:paraId="1F6E1054">
      <w:pPr>
        <w:spacing w:line="360" w:lineRule="auto"/>
        <w:jc w:val="both"/>
        <w:rPr>
          <w:b/>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Anexo III – Relação de órgãos/entidades participantes</w:t>
      </w:r>
    </w:p>
    <w:p w14:paraId="11263F70">
      <w:pPr>
        <w:spacing w:line="288" w:lineRule="auto"/>
        <w:contextualSpacing/>
        <w:rPr>
          <w:rFonts w:eastAsia="Calibri"/>
          <w:b/>
          <w:bCs/>
          <w:sz w:val="24"/>
          <w:szCs w:val="24"/>
          <w:lang w:eastAsia="en-US"/>
        </w:rPr>
      </w:pPr>
    </w:p>
    <w:p w14:paraId="0B622CEC">
      <w:pPr>
        <w:spacing w:line="288" w:lineRule="auto"/>
        <w:contextualSpacing/>
        <w:jc w:val="center"/>
        <w:rPr>
          <w:rFonts w:eastAsia="Calibri"/>
          <w:b/>
          <w:bCs/>
          <w:sz w:val="24"/>
          <w:szCs w:val="24"/>
          <w:lang w:eastAsia="en-US"/>
        </w:rPr>
      </w:pPr>
    </w:p>
    <w:p w14:paraId="5DC3F53A">
      <w:pPr>
        <w:spacing w:line="288" w:lineRule="auto"/>
        <w:contextualSpacing/>
        <w:jc w:val="center"/>
        <w:rPr>
          <w:rFonts w:eastAsia="Calibri"/>
          <w:b/>
          <w:bCs/>
          <w:sz w:val="24"/>
          <w:szCs w:val="24"/>
          <w:lang w:eastAsia="en-US"/>
        </w:rPr>
      </w:pPr>
    </w:p>
    <w:p w14:paraId="13C6694F">
      <w:pPr>
        <w:jc w:val="center"/>
        <w:rPr>
          <w:b/>
          <w:sz w:val="24"/>
          <w:szCs w:val="24"/>
          <w:u w:val="single"/>
        </w:rPr>
      </w:pPr>
      <w:r>
        <w:rPr>
          <w:b/>
          <w:sz w:val="24"/>
          <w:szCs w:val="24"/>
          <w:u w:val="single"/>
        </w:rPr>
        <w:t>Anexo I – Consolidação das Informações da Ata de Registro de Preços</w:t>
      </w:r>
    </w:p>
    <w:p w14:paraId="3DC2B039">
      <w:pPr>
        <w:jc w:val="center"/>
        <w:rPr>
          <w:b/>
          <w:sz w:val="24"/>
          <w:szCs w:val="24"/>
          <w:u w:val="single"/>
        </w:rPr>
      </w:pPr>
    </w:p>
    <w:p w14:paraId="70EF6135">
      <w:pPr>
        <w:jc w:val="center"/>
        <w:rPr>
          <w:rFonts w:eastAsia="Arial"/>
          <w:b/>
          <w:sz w:val="24"/>
          <w:szCs w:val="24"/>
        </w:rPr>
      </w:pPr>
    </w:p>
    <w:p w14:paraId="2A711AAD">
      <w:pPr>
        <w:ind w:hanging="426"/>
        <w:rPr>
          <w:rFonts w:eastAsia="Arial"/>
          <w:b/>
          <w:sz w:val="24"/>
          <w:szCs w:val="24"/>
        </w:rPr>
      </w:pPr>
      <w:r>
        <w:rPr>
          <w:rFonts w:eastAsia="Arial"/>
          <w:b/>
          <w:sz w:val="24"/>
          <w:szCs w:val="24"/>
        </w:rPr>
        <w:t>ATA DE REGISTRO DE PREÇOS nº ___/___</w:t>
      </w:r>
    </w:p>
    <w:p w14:paraId="50193264">
      <w:pPr>
        <w:ind w:hanging="426"/>
        <w:rPr>
          <w:rFonts w:eastAsia="Arial"/>
          <w:b/>
          <w:sz w:val="24"/>
          <w:szCs w:val="24"/>
        </w:rPr>
      </w:pPr>
      <w:r>
        <w:rPr>
          <w:rFonts w:eastAsia="Arial"/>
          <w:b/>
          <w:sz w:val="24"/>
          <w:szCs w:val="24"/>
        </w:rPr>
        <w:t>ÓRGÃO GERENCIADOR:</w:t>
      </w:r>
    </w:p>
    <w:p w14:paraId="71AF1478">
      <w:pPr>
        <w:ind w:hanging="426"/>
        <w:rPr>
          <w:rFonts w:eastAsia="Arial"/>
          <w:b/>
          <w:sz w:val="24"/>
          <w:szCs w:val="24"/>
        </w:rPr>
      </w:pPr>
      <w:r>
        <w:rPr>
          <w:rFonts w:eastAsia="Arial"/>
          <w:b/>
          <w:sz w:val="24"/>
          <w:szCs w:val="24"/>
        </w:rPr>
        <w:t>OBJETO:</w:t>
      </w:r>
    </w:p>
    <w:p w14:paraId="64B1403E">
      <w:pPr>
        <w:ind w:hanging="426"/>
        <w:rPr>
          <w:rFonts w:eastAsia="Arial"/>
          <w:b/>
          <w:sz w:val="24"/>
          <w:szCs w:val="24"/>
        </w:rPr>
      </w:pPr>
      <w:r>
        <w:rPr>
          <w:rFonts w:eastAsia="Arial"/>
          <w:b/>
          <w:sz w:val="24"/>
          <w:szCs w:val="24"/>
        </w:rPr>
        <w:t xml:space="preserve">FORNECEDOR: </w:t>
      </w:r>
    </w:p>
    <w:p w14:paraId="7EFA8614">
      <w:pPr>
        <w:ind w:hanging="426"/>
        <w:rPr>
          <w:rFonts w:eastAsia="Arial"/>
          <w:b/>
          <w:sz w:val="24"/>
          <w:szCs w:val="24"/>
        </w:rPr>
      </w:pPr>
    </w:p>
    <w:p w14:paraId="6BF69B42">
      <w:pPr>
        <w:jc w:val="center"/>
        <w:rPr>
          <w:rFonts w:eastAsia="Arial"/>
          <w:b/>
          <w:sz w:val="24"/>
          <w:szCs w:val="24"/>
        </w:rPr>
      </w:pPr>
    </w:p>
    <w:tbl>
      <w:tblPr>
        <w:tblStyle w:val="9"/>
        <w:tblW w:w="9639"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9"/>
        <w:gridCol w:w="851"/>
        <w:gridCol w:w="1135"/>
        <w:gridCol w:w="2126"/>
        <w:gridCol w:w="1701"/>
        <w:gridCol w:w="1560"/>
        <w:gridCol w:w="1417"/>
      </w:tblGrid>
      <w:tr w14:paraId="4FE4E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shd w:val="clear" w:color="auto" w:fill="auto"/>
          </w:tcPr>
          <w:p w14:paraId="6EAF25B0">
            <w:pPr>
              <w:jc w:val="center"/>
              <w:rPr>
                <w:rFonts w:eastAsia="Arial"/>
                <w:b/>
                <w:color w:val="FF0000"/>
                <w:sz w:val="24"/>
                <w:szCs w:val="24"/>
              </w:rPr>
            </w:pPr>
          </w:p>
        </w:tc>
        <w:tc>
          <w:tcPr>
            <w:tcW w:w="851" w:type="dxa"/>
            <w:shd w:val="clear" w:color="auto" w:fill="auto"/>
          </w:tcPr>
          <w:p w14:paraId="5045D4BC">
            <w:pPr>
              <w:jc w:val="center"/>
              <w:rPr>
                <w:rFonts w:eastAsia="Arial"/>
                <w:b/>
                <w:sz w:val="24"/>
                <w:szCs w:val="24"/>
              </w:rPr>
            </w:pPr>
            <w:r>
              <w:rPr>
                <w:rFonts w:eastAsia="Arial"/>
                <w:b/>
                <w:sz w:val="24"/>
                <w:szCs w:val="24"/>
              </w:rPr>
              <w:t>ITEM</w:t>
            </w:r>
          </w:p>
          <w:p w14:paraId="21FF1D9F">
            <w:pPr>
              <w:jc w:val="center"/>
              <w:rPr>
                <w:rFonts w:eastAsia="Arial"/>
                <w:b/>
                <w:sz w:val="24"/>
                <w:szCs w:val="24"/>
              </w:rPr>
            </w:pPr>
          </w:p>
        </w:tc>
        <w:tc>
          <w:tcPr>
            <w:tcW w:w="1134" w:type="dxa"/>
            <w:shd w:val="clear" w:color="auto" w:fill="auto"/>
          </w:tcPr>
          <w:p w14:paraId="532010C3">
            <w:pPr>
              <w:jc w:val="center"/>
              <w:rPr>
                <w:rFonts w:eastAsia="Arial"/>
                <w:b/>
                <w:sz w:val="24"/>
                <w:szCs w:val="24"/>
              </w:rPr>
            </w:pPr>
            <w:r>
              <w:rPr>
                <w:rFonts w:eastAsia="Arial"/>
                <w:b/>
                <w:sz w:val="24"/>
                <w:szCs w:val="24"/>
              </w:rPr>
              <w:t>CÓD.</w:t>
            </w:r>
          </w:p>
          <w:p w14:paraId="102FE4EE">
            <w:pPr>
              <w:jc w:val="center"/>
              <w:rPr>
                <w:rFonts w:eastAsia="Arial"/>
                <w:b/>
                <w:sz w:val="24"/>
                <w:szCs w:val="24"/>
              </w:rPr>
            </w:pPr>
            <w:r>
              <w:rPr>
                <w:rFonts w:eastAsia="Arial"/>
                <w:b/>
                <w:sz w:val="24"/>
                <w:szCs w:val="24"/>
              </w:rPr>
              <w:t>ID SIGA</w:t>
            </w:r>
          </w:p>
        </w:tc>
        <w:tc>
          <w:tcPr>
            <w:tcW w:w="2126" w:type="dxa"/>
            <w:shd w:val="clear" w:color="auto" w:fill="auto"/>
          </w:tcPr>
          <w:p w14:paraId="186E3B01">
            <w:pPr>
              <w:jc w:val="center"/>
              <w:rPr>
                <w:rFonts w:eastAsia="Arial"/>
                <w:b/>
                <w:sz w:val="24"/>
                <w:szCs w:val="24"/>
              </w:rPr>
            </w:pPr>
            <w:r>
              <w:rPr>
                <w:rFonts w:eastAsia="Arial"/>
                <w:b/>
                <w:sz w:val="24"/>
                <w:szCs w:val="24"/>
              </w:rPr>
              <w:t>DESCRIÇÃO/</w:t>
            </w:r>
          </w:p>
          <w:p w14:paraId="57DA6636">
            <w:pPr>
              <w:jc w:val="center"/>
              <w:rPr>
                <w:rFonts w:eastAsia="Arial"/>
                <w:b/>
                <w:sz w:val="24"/>
                <w:szCs w:val="24"/>
              </w:rPr>
            </w:pPr>
            <w:r>
              <w:rPr>
                <w:rFonts w:eastAsia="Arial"/>
                <w:b/>
                <w:sz w:val="24"/>
                <w:szCs w:val="24"/>
              </w:rPr>
              <w:t>ESPECIFICAÇÃO</w:t>
            </w:r>
          </w:p>
        </w:tc>
        <w:tc>
          <w:tcPr>
            <w:tcW w:w="1701" w:type="dxa"/>
            <w:shd w:val="clear" w:color="auto" w:fill="auto"/>
          </w:tcPr>
          <w:p w14:paraId="708FFF14">
            <w:pPr>
              <w:spacing w:line="288" w:lineRule="auto"/>
              <w:jc w:val="center"/>
              <w:rPr>
                <w:rFonts w:eastAsia="Arial"/>
                <w:b/>
                <w:sz w:val="24"/>
                <w:szCs w:val="24"/>
              </w:rPr>
            </w:pPr>
            <w:r>
              <w:rPr>
                <w:rFonts w:eastAsia="Arial"/>
                <w:b/>
                <w:sz w:val="24"/>
                <w:szCs w:val="24"/>
              </w:rPr>
              <w:t>QUANTIDADE TOTAL REGISTRADA</w:t>
            </w:r>
          </w:p>
          <w:p w14:paraId="5F399DD2">
            <w:pPr>
              <w:jc w:val="center"/>
              <w:rPr>
                <w:rFonts w:eastAsia="Arial"/>
                <w:b/>
                <w:sz w:val="24"/>
                <w:szCs w:val="24"/>
              </w:rPr>
            </w:pPr>
          </w:p>
        </w:tc>
        <w:tc>
          <w:tcPr>
            <w:tcW w:w="1560" w:type="dxa"/>
            <w:shd w:val="clear" w:color="auto" w:fill="auto"/>
          </w:tcPr>
          <w:p w14:paraId="40686F5C">
            <w:pPr>
              <w:spacing w:line="288" w:lineRule="auto"/>
              <w:jc w:val="center"/>
              <w:rPr>
                <w:rFonts w:eastAsia="Arial"/>
                <w:b/>
                <w:sz w:val="24"/>
                <w:szCs w:val="24"/>
              </w:rPr>
            </w:pPr>
            <w:r>
              <w:rPr>
                <w:rFonts w:eastAsia="Arial"/>
                <w:b/>
                <w:sz w:val="24"/>
                <w:szCs w:val="24"/>
              </w:rPr>
              <w:t>UNIDADE DE MEDIDA</w:t>
            </w:r>
          </w:p>
          <w:p w14:paraId="0184EFBF">
            <w:pPr>
              <w:spacing w:line="288" w:lineRule="auto"/>
              <w:jc w:val="center"/>
              <w:rPr>
                <w:rFonts w:eastAsia="Arial"/>
                <w:b/>
                <w:color w:val="FF0000"/>
                <w:sz w:val="24"/>
                <w:szCs w:val="24"/>
              </w:rPr>
            </w:pPr>
            <w:r>
              <w:rPr>
                <w:rFonts w:eastAsia="Arial"/>
                <w:b/>
                <w:color w:val="FF0000"/>
                <w:sz w:val="24"/>
                <w:szCs w:val="24"/>
              </w:rPr>
              <w:t>(ex.: m</w:t>
            </w:r>
            <w:r>
              <w:rPr>
                <w:rFonts w:eastAsia="Arial"/>
                <w:b/>
                <w:color w:val="FF0000"/>
                <w:sz w:val="24"/>
                <w:szCs w:val="24"/>
                <w:vertAlign w:val="superscript"/>
              </w:rPr>
              <w:t>2</w:t>
            </w:r>
            <w:r>
              <w:rPr>
                <w:rFonts w:eastAsia="Arial"/>
                <w:b/>
                <w:color w:val="FF0000"/>
                <w:sz w:val="24"/>
                <w:szCs w:val="24"/>
              </w:rPr>
              <w:t>, item, litros, kg, pacote etc.)</w:t>
            </w:r>
          </w:p>
          <w:p w14:paraId="63EE2543">
            <w:pPr>
              <w:jc w:val="center"/>
              <w:rPr>
                <w:rFonts w:eastAsia="Arial"/>
                <w:b/>
                <w:sz w:val="24"/>
                <w:szCs w:val="24"/>
              </w:rPr>
            </w:pPr>
          </w:p>
        </w:tc>
        <w:tc>
          <w:tcPr>
            <w:tcW w:w="1417" w:type="dxa"/>
            <w:shd w:val="clear" w:color="auto" w:fill="auto"/>
          </w:tcPr>
          <w:p w14:paraId="421861FE">
            <w:pPr>
              <w:spacing w:line="288" w:lineRule="auto"/>
              <w:jc w:val="center"/>
              <w:rPr>
                <w:rFonts w:eastAsia="Arial"/>
                <w:b/>
                <w:sz w:val="24"/>
                <w:szCs w:val="24"/>
              </w:rPr>
            </w:pPr>
            <w:r>
              <w:rPr>
                <w:rFonts w:eastAsia="Arial"/>
                <w:b/>
                <w:sz w:val="24"/>
                <w:szCs w:val="24"/>
              </w:rPr>
              <w:t>PREÇO UNITÁRIO</w:t>
            </w:r>
          </w:p>
          <w:p w14:paraId="3C742CBC">
            <w:pPr>
              <w:jc w:val="center"/>
              <w:rPr>
                <w:rFonts w:eastAsia="Arial"/>
                <w:b/>
                <w:sz w:val="24"/>
                <w:szCs w:val="24"/>
              </w:rPr>
            </w:pPr>
          </w:p>
        </w:tc>
      </w:tr>
      <w:tr w14:paraId="24756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shd w:val="clear" w:color="auto" w:fill="auto"/>
          </w:tcPr>
          <w:p w14:paraId="1C2BB172">
            <w:pPr>
              <w:jc w:val="center"/>
              <w:rPr>
                <w:rFonts w:eastAsia="Arial"/>
                <w:b/>
                <w:sz w:val="24"/>
                <w:szCs w:val="24"/>
              </w:rPr>
            </w:pPr>
          </w:p>
        </w:tc>
        <w:tc>
          <w:tcPr>
            <w:tcW w:w="851" w:type="dxa"/>
            <w:shd w:val="clear" w:color="auto" w:fill="auto"/>
          </w:tcPr>
          <w:p w14:paraId="53432660">
            <w:pPr>
              <w:jc w:val="center"/>
              <w:rPr>
                <w:rFonts w:eastAsia="Arial"/>
                <w:b/>
                <w:sz w:val="24"/>
                <w:szCs w:val="24"/>
              </w:rPr>
            </w:pPr>
          </w:p>
        </w:tc>
        <w:tc>
          <w:tcPr>
            <w:tcW w:w="1135" w:type="dxa"/>
            <w:shd w:val="clear" w:color="auto" w:fill="auto"/>
          </w:tcPr>
          <w:p w14:paraId="5224010C">
            <w:pPr>
              <w:jc w:val="center"/>
              <w:rPr>
                <w:rFonts w:eastAsia="Arial"/>
                <w:b/>
                <w:sz w:val="24"/>
                <w:szCs w:val="24"/>
              </w:rPr>
            </w:pPr>
          </w:p>
        </w:tc>
        <w:tc>
          <w:tcPr>
            <w:tcW w:w="2125" w:type="dxa"/>
            <w:shd w:val="clear" w:color="auto" w:fill="auto"/>
          </w:tcPr>
          <w:p w14:paraId="4A4910D6">
            <w:pPr>
              <w:jc w:val="center"/>
              <w:rPr>
                <w:rFonts w:eastAsia="Arial"/>
                <w:b/>
                <w:sz w:val="24"/>
                <w:szCs w:val="24"/>
              </w:rPr>
            </w:pPr>
          </w:p>
        </w:tc>
        <w:tc>
          <w:tcPr>
            <w:tcW w:w="1701" w:type="dxa"/>
            <w:shd w:val="clear" w:color="auto" w:fill="auto"/>
          </w:tcPr>
          <w:p w14:paraId="7017B5A9">
            <w:pPr>
              <w:spacing w:line="288" w:lineRule="auto"/>
              <w:jc w:val="center"/>
              <w:rPr>
                <w:rFonts w:eastAsia="Arial"/>
                <w:b/>
                <w:sz w:val="24"/>
                <w:szCs w:val="24"/>
              </w:rPr>
            </w:pPr>
          </w:p>
        </w:tc>
        <w:tc>
          <w:tcPr>
            <w:tcW w:w="1560" w:type="dxa"/>
            <w:shd w:val="clear" w:color="auto" w:fill="auto"/>
          </w:tcPr>
          <w:p w14:paraId="58A0FF04">
            <w:pPr>
              <w:spacing w:line="288" w:lineRule="auto"/>
              <w:jc w:val="center"/>
              <w:rPr>
                <w:rFonts w:eastAsia="Arial"/>
                <w:b/>
                <w:sz w:val="24"/>
                <w:szCs w:val="24"/>
              </w:rPr>
            </w:pPr>
          </w:p>
        </w:tc>
        <w:tc>
          <w:tcPr>
            <w:tcW w:w="1417" w:type="dxa"/>
            <w:shd w:val="clear" w:color="auto" w:fill="auto"/>
          </w:tcPr>
          <w:p w14:paraId="33642893">
            <w:pPr>
              <w:spacing w:line="288" w:lineRule="auto"/>
              <w:jc w:val="center"/>
              <w:rPr>
                <w:rFonts w:eastAsia="Arial"/>
                <w:b/>
                <w:sz w:val="24"/>
                <w:szCs w:val="24"/>
              </w:rPr>
            </w:pPr>
          </w:p>
        </w:tc>
      </w:tr>
      <w:tr w14:paraId="4131A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shd w:val="clear" w:color="auto" w:fill="auto"/>
          </w:tcPr>
          <w:p w14:paraId="47F15A15">
            <w:pPr>
              <w:jc w:val="center"/>
              <w:rPr>
                <w:rFonts w:eastAsia="Arial"/>
                <w:b/>
                <w:sz w:val="24"/>
                <w:szCs w:val="24"/>
              </w:rPr>
            </w:pPr>
          </w:p>
        </w:tc>
        <w:tc>
          <w:tcPr>
            <w:tcW w:w="851" w:type="dxa"/>
            <w:shd w:val="clear" w:color="auto" w:fill="auto"/>
          </w:tcPr>
          <w:p w14:paraId="1119B48B">
            <w:pPr>
              <w:jc w:val="center"/>
              <w:rPr>
                <w:rFonts w:eastAsia="Arial"/>
                <w:b/>
                <w:sz w:val="24"/>
                <w:szCs w:val="24"/>
              </w:rPr>
            </w:pPr>
          </w:p>
        </w:tc>
        <w:tc>
          <w:tcPr>
            <w:tcW w:w="1135" w:type="dxa"/>
            <w:shd w:val="clear" w:color="auto" w:fill="auto"/>
          </w:tcPr>
          <w:p w14:paraId="222FF4F7">
            <w:pPr>
              <w:jc w:val="center"/>
              <w:rPr>
                <w:rFonts w:eastAsia="Arial"/>
                <w:b/>
                <w:sz w:val="24"/>
                <w:szCs w:val="24"/>
              </w:rPr>
            </w:pPr>
          </w:p>
        </w:tc>
        <w:tc>
          <w:tcPr>
            <w:tcW w:w="2125" w:type="dxa"/>
            <w:shd w:val="clear" w:color="auto" w:fill="auto"/>
          </w:tcPr>
          <w:p w14:paraId="24D5719D">
            <w:pPr>
              <w:jc w:val="center"/>
              <w:rPr>
                <w:rFonts w:eastAsia="Arial"/>
                <w:b/>
                <w:sz w:val="24"/>
                <w:szCs w:val="24"/>
              </w:rPr>
            </w:pPr>
          </w:p>
        </w:tc>
        <w:tc>
          <w:tcPr>
            <w:tcW w:w="1701" w:type="dxa"/>
            <w:shd w:val="clear" w:color="auto" w:fill="auto"/>
          </w:tcPr>
          <w:p w14:paraId="2B744B42">
            <w:pPr>
              <w:spacing w:line="288" w:lineRule="auto"/>
              <w:jc w:val="center"/>
              <w:rPr>
                <w:rFonts w:eastAsia="Arial"/>
                <w:b/>
                <w:sz w:val="24"/>
                <w:szCs w:val="24"/>
              </w:rPr>
            </w:pPr>
          </w:p>
        </w:tc>
        <w:tc>
          <w:tcPr>
            <w:tcW w:w="1560" w:type="dxa"/>
            <w:shd w:val="clear" w:color="auto" w:fill="auto"/>
          </w:tcPr>
          <w:p w14:paraId="2777F7CC">
            <w:pPr>
              <w:spacing w:line="288" w:lineRule="auto"/>
              <w:jc w:val="center"/>
              <w:rPr>
                <w:rFonts w:eastAsia="Arial"/>
                <w:b/>
                <w:sz w:val="24"/>
                <w:szCs w:val="24"/>
              </w:rPr>
            </w:pPr>
          </w:p>
        </w:tc>
        <w:tc>
          <w:tcPr>
            <w:tcW w:w="1417" w:type="dxa"/>
            <w:shd w:val="clear" w:color="auto" w:fill="auto"/>
          </w:tcPr>
          <w:p w14:paraId="406A1843">
            <w:pPr>
              <w:spacing w:line="288" w:lineRule="auto"/>
              <w:jc w:val="center"/>
              <w:rPr>
                <w:rFonts w:eastAsia="Arial"/>
                <w:b/>
                <w:sz w:val="24"/>
                <w:szCs w:val="24"/>
              </w:rPr>
            </w:pPr>
          </w:p>
        </w:tc>
      </w:tr>
      <w:tr w14:paraId="3C693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shd w:val="clear" w:color="auto" w:fill="auto"/>
          </w:tcPr>
          <w:p w14:paraId="28527619">
            <w:pPr>
              <w:jc w:val="center"/>
              <w:rPr>
                <w:rFonts w:eastAsia="Arial"/>
                <w:b/>
                <w:sz w:val="24"/>
                <w:szCs w:val="24"/>
              </w:rPr>
            </w:pPr>
          </w:p>
        </w:tc>
        <w:tc>
          <w:tcPr>
            <w:tcW w:w="851" w:type="dxa"/>
            <w:shd w:val="clear" w:color="auto" w:fill="auto"/>
          </w:tcPr>
          <w:p w14:paraId="7E896E9A">
            <w:pPr>
              <w:jc w:val="center"/>
              <w:rPr>
                <w:rFonts w:eastAsia="Arial"/>
                <w:b/>
                <w:sz w:val="24"/>
                <w:szCs w:val="24"/>
              </w:rPr>
            </w:pPr>
          </w:p>
        </w:tc>
        <w:tc>
          <w:tcPr>
            <w:tcW w:w="1135" w:type="dxa"/>
            <w:shd w:val="clear" w:color="auto" w:fill="auto"/>
          </w:tcPr>
          <w:p w14:paraId="7964FBC2">
            <w:pPr>
              <w:jc w:val="center"/>
              <w:rPr>
                <w:rFonts w:eastAsia="Arial"/>
                <w:b/>
                <w:sz w:val="24"/>
                <w:szCs w:val="24"/>
              </w:rPr>
            </w:pPr>
          </w:p>
        </w:tc>
        <w:tc>
          <w:tcPr>
            <w:tcW w:w="2125" w:type="dxa"/>
            <w:shd w:val="clear" w:color="auto" w:fill="auto"/>
          </w:tcPr>
          <w:p w14:paraId="321B3E62">
            <w:pPr>
              <w:jc w:val="center"/>
              <w:rPr>
                <w:rFonts w:eastAsia="Arial"/>
                <w:b/>
                <w:sz w:val="24"/>
                <w:szCs w:val="24"/>
              </w:rPr>
            </w:pPr>
          </w:p>
        </w:tc>
        <w:tc>
          <w:tcPr>
            <w:tcW w:w="1701" w:type="dxa"/>
            <w:shd w:val="clear" w:color="auto" w:fill="auto"/>
          </w:tcPr>
          <w:p w14:paraId="5A3507A6">
            <w:pPr>
              <w:spacing w:line="288" w:lineRule="auto"/>
              <w:jc w:val="center"/>
              <w:rPr>
                <w:rFonts w:eastAsia="Arial"/>
                <w:b/>
                <w:sz w:val="24"/>
                <w:szCs w:val="24"/>
              </w:rPr>
            </w:pPr>
          </w:p>
        </w:tc>
        <w:tc>
          <w:tcPr>
            <w:tcW w:w="1560" w:type="dxa"/>
            <w:shd w:val="clear" w:color="auto" w:fill="auto"/>
          </w:tcPr>
          <w:p w14:paraId="3F73412C">
            <w:pPr>
              <w:spacing w:line="288" w:lineRule="auto"/>
              <w:jc w:val="center"/>
              <w:rPr>
                <w:rFonts w:eastAsia="Arial"/>
                <w:b/>
                <w:sz w:val="24"/>
                <w:szCs w:val="24"/>
              </w:rPr>
            </w:pPr>
          </w:p>
        </w:tc>
        <w:tc>
          <w:tcPr>
            <w:tcW w:w="1417" w:type="dxa"/>
            <w:shd w:val="clear" w:color="auto" w:fill="auto"/>
          </w:tcPr>
          <w:p w14:paraId="439814F8">
            <w:pPr>
              <w:spacing w:line="288" w:lineRule="auto"/>
              <w:jc w:val="center"/>
              <w:rPr>
                <w:rFonts w:eastAsia="Arial"/>
                <w:b/>
                <w:sz w:val="24"/>
                <w:szCs w:val="24"/>
              </w:rPr>
            </w:pPr>
          </w:p>
        </w:tc>
      </w:tr>
    </w:tbl>
    <w:p w14:paraId="123E2612">
      <w:pPr>
        <w:rPr>
          <w:b/>
          <w:sz w:val="24"/>
          <w:szCs w:val="24"/>
          <w:u w:val="single"/>
        </w:rPr>
      </w:pPr>
    </w:p>
    <w:p w14:paraId="15FC7785">
      <w:pPr>
        <w:jc w:val="center"/>
        <w:rPr>
          <w:b/>
          <w:sz w:val="24"/>
          <w:szCs w:val="24"/>
          <w:u w:val="single"/>
        </w:rPr>
      </w:pPr>
    </w:p>
    <w:p w14:paraId="1181E57D">
      <w:pPr>
        <w:jc w:val="center"/>
        <w:rPr>
          <w:b/>
          <w:sz w:val="24"/>
          <w:szCs w:val="24"/>
          <w:u w:val="single"/>
        </w:rPr>
      </w:pPr>
    </w:p>
    <w:p w14:paraId="3F4D9A6B">
      <w:pPr>
        <w:jc w:val="center"/>
        <w:rPr>
          <w:b/>
          <w:sz w:val="24"/>
          <w:szCs w:val="24"/>
          <w:u w:val="single"/>
        </w:rPr>
      </w:pPr>
      <w:r>
        <w:rPr>
          <w:b/>
          <w:sz w:val="24"/>
          <w:szCs w:val="24"/>
          <w:u w:val="single"/>
        </w:rPr>
        <w:t>Anexo II – Cadastro de Reserva</w:t>
      </w:r>
    </w:p>
    <w:p w14:paraId="1F29C294">
      <w:pPr>
        <w:rPr>
          <w:rFonts w:eastAsia="Arial"/>
          <w:b/>
          <w:sz w:val="24"/>
          <w:szCs w:val="24"/>
        </w:rPr>
      </w:pPr>
    </w:p>
    <w:p w14:paraId="201A7B17">
      <w:pPr>
        <w:rPr>
          <w:rFonts w:eastAsia="Arial"/>
          <w:b/>
          <w:sz w:val="24"/>
          <w:szCs w:val="24"/>
        </w:rPr>
      </w:pPr>
      <w:r>
        <w:rPr>
          <w:rFonts w:eastAsia="Arial"/>
          <w:b/>
          <w:sz w:val="24"/>
          <w:szCs w:val="24"/>
        </w:rPr>
        <w:t>ATA DE REGISTRO DE PREÇOS nº ___/202</w:t>
      </w:r>
      <w:r>
        <w:rPr>
          <w:rFonts w:eastAsia="Arial"/>
          <w:b/>
          <w:color w:val="FF0000"/>
          <w:sz w:val="24"/>
          <w:szCs w:val="24"/>
        </w:rPr>
        <w:t>...._</w:t>
      </w:r>
      <w:r>
        <w:rPr>
          <w:rFonts w:eastAsia="Arial"/>
          <w:b/>
          <w:sz w:val="24"/>
          <w:szCs w:val="24"/>
        </w:rPr>
        <w:t>__</w:t>
      </w:r>
    </w:p>
    <w:p w14:paraId="32F0D43C">
      <w:pPr>
        <w:rPr>
          <w:rFonts w:eastAsia="Arial"/>
          <w:b/>
          <w:sz w:val="24"/>
          <w:szCs w:val="24"/>
        </w:rPr>
      </w:pPr>
      <w:r>
        <w:rPr>
          <w:rFonts w:eastAsia="Arial"/>
          <w:b/>
          <w:sz w:val="24"/>
          <w:szCs w:val="24"/>
        </w:rPr>
        <w:t>ÓRGÃO GERENCIADOR:</w:t>
      </w:r>
    </w:p>
    <w:p w14:paraId="5C0AC215">
      <w:pPr>
        <w:rPr>
          <w:rFonts w:eastAsia="Arial"/>
          <w:b/>
          <w:sz w:val="24"/>
          <w:szCs w:val="24"/>
        </w:rPr>
      </w:pPr>
      <w:r>
        <w:rPr>
          <w:rFonts w:eastAsia="Arial"/>
          <w:b/>
          <w:sz w:val="24"/>
          <w:szCs w:val="24"/>
        </w:rPr>
        <w:t>OBJETO:</w:t>
      </w:r>
    </w:p>
    <w:p w14:paraId="23C499FD">
      <w:pPr>
        <w:rPr>
          <w:rFonts w:eastAsia="Arial"/>
          <w:b/>
          <w:sz w:val="24"/>
          <w:szCs w:val="24"/>
        </w:rPr>
      </w:pPr>
    </w:p>
    <w:p w14:paraId="48544A23">
      <w:pPr>
        <w:jc w:val="both"/>
        <w:rPr>
          <w:rFonts w:eastAsia="Arial"/>
          <w:b/>
          <w:sz w:val="24"/>
          <w:szCs w:val="24"/>
        </w:rPr>
      </w:pPr>
      <w:r>
        <w:rPr>
          <w:rFonts w:eastAsia="Arial"/>
          <w:b/>
          <w:sz w:val="24"/>
          <w:szCs w:val="24"/>
        </w:rPr>
        <w:t xml:space="preserve">FORNECEDOR nº1 DO CADASTRO DE RESERVA: </w:t>
      </w:r>
      <w:r>
        <w:rPr>
          <w:sz w:val="24"/>
          <w:szCs w:val="24"/>
        </w:rPr>
        <w:t xml:space="preserve">empresa </w:t>
      </w:r>
      <w:r>
        <w:rPr>
          <w:color w:val="FF0000"/>
          <w:sz w:val="24"/>
          <w:szCs w:val="24"/>
        </w:rPr>
        <w:t>.............</w:t>
      </w:r>
      <w:r>
        <w:rPr>
          <w:sz w:val="24"/>
          <w:szCs w:val="24"/>
        </w:rPr>
        <w:t xml:space="preserve">, situada na Rua </w:t>
      </w:r>
      <w:r>
        <w:rPr>
          <w:color w:val="FF0000"/>
          <w:sz w:val="24"/>
          <w:szCs w:val="24"/>
        </w:rPr>
        <w:t>.............</w:t>
      </w:r>
      <w:r>
        <w:rPr>
          <w:sz w:val="24"/>
          <w:szCs w:val="24"/>
        </w:rPr>
        <w:t xml:space="preserve">, Bairro </w:t>
      </w:r>
      <w:r>
        <w:rPr>
          <w:color w:val="FF0000"/>
          <w:sz w:val="24"/>
          <w:szCs w:val="24"/>
        </w:rPr>
        <w:t>.............</w:t>
      </w:r>
      <w:r>
        <w:rPr>
          <w:sz w:val="24"/>
          <w:szCs w:val="24"/>
        </w:rPr>
        <w:t xml:space="preserve">, Cidade </w:t>
      </w:r>
      <w:r>
        <w:rPr>
          <w:color w:val="FF0000"/>
          <w:sz w:val="24"/>
          <w:szCs w:val="24"/>
        </w:rPr>
        <w:t>.............</w:t>
      </w:r>
      <w:r>
        <w:rPr>
          <w:sz w:val="24"/>
          <w:szCs w:val="24"/>
        </w:rPr>
        <w:t xml:space="preserve"> e inscrita no CNPJ/MF sob o nº </w:t>
      </w:r>
      <w:r>
        <w:rPr>
          <w:color w:val="FF0000"/>
          <w:sz w:val="24"/>
          <w:szCs w:val="24"/>
        </w:rPr>
        <w:t>.............</w:t>
      </w:r>
      <w:r>
        <w:rPr>
          <w:sz w:val="24"/>
          <w:szCs w:val="24"/>
        </w:rPr>
        <w:t xml:space="preserve">, representada neste ato por </w:t>
      </w:r>
      <w:r>
        <w:rPr>
          <w:color w:val="FF0000"/>
          <w:sz w:val="24"/>
          <w:szCs w:val="24"/>
        </w:rPr>
        <w:t>.............</w:t>
      </w:r>
      <w:r>
        <w:rPr>
          <w:sz w:val="24"/>
          <w:szCs w:val="24"/>
        </w:rPr>
        <w:t xml:space="preserve">, cédula de identidade nº </w:t>
      </w:r>
      <w:r>
        <w:rPr>
          <w:color w:val="FF0000"/>
          <w:sz w:val="24"/>
          <w:szCs w:val="24"/>
        </w:rPr>
        <w:t>.............</w:t>
      </w:r>
      <w:r>
        <w:rPr>
          <w:sz w:val="24"/>
          <w:szCs w:val="24"/>
        </w:rPr>
        <w:t xml:space="preserve">,  domiciliada na Rua </w:t>
      </w:r>
      <w:r>
        <w:rPr>
          <w:color w:val="FF0000"/>
          <w:sz w:val="24"/>
          <w:szCs w:val="24"/>
        </w:rPr>
        <w:t>.............</w:t>
      </w:r>
      <w:r>
        <w:rPr>
          <w:color w:val="000000"/>
          <w:sz w:val="24"/>
          <w:szCs w:val="24"/>
        </w:rPr>
        <w:t xml:space="preserve">, Cidade </w:t>
      </w:r>
      <w:r>
        <w:rPr>
          <w:color w:val="FF0000"/>
          <w:sz w:val="24"/>
          <w:szCs w:val="24"/>
        </w:rPr>
        <w:t>.............</w:t>
      </w:r>
      <w:r>
        <w:rPr>
          <w:color w:val="000000"/>
          <w:sz w:val="24"/>
          <w:szCs w:val="24"/>
        </w:rPr>
        <w:t xml:space="preserve">; </w:t>
      </w:r>
    </w:p>
    <w:p w14:paraId="64AD08A3">
      <w:pPr>
        <w:rPr>
          <w:rFonts w:eastAsia="Arial"/>
          <w:b/>
          <w:sz w:val="24"/>
          <w:szCs w:val="24"/>
        </w:rPr>
      </w:pPr>
    </w:p>
    <w:p w14:paraId="5D3152F1">
      <w:pPr>
        <w:rPr>
          <w:rFonts w:eastAsia="Arial"/>
          <w:b/>
          <w:sz w:val="24"/>
          <w:szCs w:val="24"/>
        </w:rPr>
      </w:pPr>
    </w:p>
    <w:p w14:paraId="4847DFCF">
      <w:pPr>
        <w:jc w:val="both"/>
        <w:rPr>
          <w:rFonts w:eastAsia="Arial"/>
          <w:b/>
          <w:sz w:val="24"/>
          <w:szCs w:val="24"/>
        </w:rPr>
      </w:pPr>
      <w:r>
        <w:rPr>
          <w:rFonts w:eastAsia="Arial"/>
          <w:b/>
          <w:sz w:val="24"/>
          <w:szCs w:val="24"/>
        </w:rPr>
        <w:t xml:space="preserve">FORNECEDOR nº2 DO CADASTRO DE RESERVA: </w:t>
      </w:r>
      <w:r>
        <w:rPr>
          <w:sz w:val="24"/>
          <w:szCs w:val="24"/>
        </w:rPr>
        <w:t xml:space="preserve">empresa </w:t>
      </w:r>
      <w:r>
        <w:rPr>
          <w:color w:val="FF0000"/>
          <w:sz w:val="24"/>
          <w:szCs w:val="24"/>
        </w:rPr>
        <w:t>.............</w:t>
      </w:r>
      <w:r>
        <w:rPr>
          <w:sz w:val="24"/>
          <w:szCs w:val="24"/>
        </w:rPr>
        <w:t xml:space="preserve">, situada na Rua </w:t>
      </w:r>
      <w:r>
        <w:rPr>
          <w:color w:val="FF0000"/>
          <w:sz w:val="24"/>
          <w:szCs w:val="24"/>
        </w:rPr>
        <w:t>.............</w:t>
      </w:r>
      <w:r>
        <w:rPr>
          <w:sz w:val="24"/>
          <w:szCs w:val="24"/>
        </w:rPr>
        <w:t xml:space="preserve">, Bairro </w:t>
      </w:r>
      <w:r>
        <w:rPr>
          <w:color w:val="FF0000"/>
          <w:sz w:val="24"/>
          <w:szCs w:val="24"/>
        </w:rPr>
        <w:t>.............</w:t>
      </w:r>
      <w:r>
        <w:rPr>
          <w:sz w:val="24"/>
          <w:szCs w:val="24"/>
        </w:rPr>
        <w:t xml:space="preserve">, Cidade </w:t>
      </w:r>
      <w:r>
        <w:rPr>
          <w:color w:val="FF0000"/>
          <w:sz w:val="24"/>
          <w:szCs w:val="24"/>
        </w:rPr>
        <w:t>.............</w:t>
      </w:r>
      <w:r>
        <w:rPr>
          <w:sz w:val="24"/>
          <w:szCs w:val="24"/>
        </w:rPr>
        <w:t xml:space="preserve"> e inscrita no CNPJ/MF sob o nº </w:t>
      </w:r>
      <w:r>
        <w:rPr>
          <w:color w:val="FF0000"/>
          <w:sz w:val="24"/>
          <w:szCs w:val="24"/>
        </w:rPr>
        <w:t>.............</w:t>
      </w:r>
      <w:r>
        <w:rPr>
          <w:sz w:val="24"/>
          <w:szCs w:val="24"/>
        </w:rPr>
        <w:t xml:space="preserve">, representada neste ato por </w:t>
      </w:r>
      <w:r>
        <w:rPr>
          <w:color w:val="FF0000"/>
          <w:sz w:val="24"/>
          <w:szCs w:val="24"/>
        </w:rPr>
        <w:t>.............</w:t>
      </w:r>
      <w:r>
        <w:rPr>
          <w:sz w:val="24"/>
          <w:szCs w:val="24"/>
        </w:rPr>
        <w:t xml:space="preserve">, cédula de identidade nº </w:t>
      </w:r>
      <w:r>
        <w:rPr>
          <w:color w:val="FF0000"/>
          <w:sz w:val="24"/>
          <w:szCs w:val="24"/>
        </w:rPr>
        <w:t>.............</w:t>
      </w:r>
      <w:r>
        <w:rPr>
          <w:sz w:val="24"/>
          <w:szCs w:val="24"/>
        </w:rPr>
        <w:t xml:space="preserve">,  domiciliada na Rua </w:t>
      </w:r>
      <w:r>
        <w:rPr>
          <w:color w:val="FF0000"/>
          <w:sz w:val="24"/>
          <w:szCs w:val="24"/>
        </w:rPr>
        <w:t>.............</w:t>
      </w:r>
      <w:r>
        <w:rPr>
          <w:color w:val="000000"/>
          <w:sz w:val="24"/>
          <w:szCs w:val="24"/>
        </w:rPr>
        <w:t xml:space="preserve">, Cidade </w:t>
      </w:r>
      <w:r>
        <w:rPr>
          <w:color w:val="FF0000"/>
          <w:sz w:val="24"/>
          <w:szCs w:val="24"/>
        </w:rPr>
        <w:t>.............</w:t>
      </w:r>
      <w:r>
        <w:rPr>
          <w:color w:val="000000"/>
          <w:sz w:val="24"/>
          <w:szCs w:val="24"/>
        </w:rPr>
        <w:t xml:space="preserve">; </w:t>
      </w:r>
    </w:p>
    <w:p w14:paraId="0861F67F">
      <w:pPr>
        <w:rPr>
          <w:rFonts w:eastAsia="Arial"/>
          <w:b/>
          <w:sz w:val="24"/>
          <w:szCs w:val="24"/>
        </w:rPr>
      </w:pPr>
    </w:p>
    <w:p w14:paraId="313A2800">
      <w:pPr>
        <w:rPr>
          <w:rFonts w:eastAsia="Arial"/>
          <w:b/>
          <w:sz w:val="24"/>
          <w:szCs w:val="24"/>
        </w:rPr>
      </w:pPr>
    </w:p>
    <w:p w14:paraId="1F1D54E1">
      <w:pPr>
        <w:jc w:val="both"/>
        <w:rPr>
          <w:rFonts w:eastAsia="Arial"/>
          <w:b/>
          <w:sz w:val="24"/>
          <w:szCs w:val="24"/>
        </w:rPr>
      </w:pPr>
      <w:r>
        <w:rPr>
          <w:rFonts w:eastAsia="Arial"/>
          <w:b/>
          <w:sz w:val="24"/>
          <w:szCs w:val="24"/>
        </w:rPr>
        <w:t xml:space="preserve">FORNECEDOR nº3 DO CADASTRO DE RESERVA: </w:t>
      </w:r>
      <w:r>
        <w:rPr>
          <w:sz w:val="24"/>
          <w:szCs w:val="24"/>
        </w:rPr>
        <w:t xml:space="preserve">empresa </w:t>
      </w:r>
      <w:r>
        <w:rPr>
          <w:color w:val="FF0000"/>
          <w:sz w:val="24"/>
          <w:szCs w:val="24"/>
        </w:rPr>
        <w:t>.............</w:t>
      </w:r>
      <w:r>
        <w:rPr>
          <w:sz w:val="24"/>
          <w:szCs w:val="24"/>
        </w:rPr>
        <w:t xml:space="preserve">, situada na Rua </w:t>
      </w:r>
      <w:r>
        <w:rPr>
          <w:color w:val="FF0000"/>
          <w:sz w:val="24"/>
          <w:szCs w:val="24"/>
        </w:rPr>
        <w:t>.............</w:t>
      </w:r>
      <w:r>
        <w:rPr>
          <w:sz w:val="24"/>
          <w:szCs w:val="24"/>
        </w:rPr>
        <w:t xml:space="preserve">, Bairro </w:t>
      </w:r>
      <w:r>
        <w:rPr>
          <w:color w:val="FF0000"/>
          <w:sz w:val="24"/>
          <w:szCs w:val="24"/>
        </w:rPr>
        <w:t>.............</w:t>
      </w:r>
      <w:r>
        <w:rPr>
          <w:sz w:val="24"/>
          <w:szCs w:val="24"/>
        </w:rPr>
        <w:t xml:space="preserve">, Cidade </w:t>
      </w:r>
      <w:r>
        <w:rPr>
          <w:color w:val="FF0000"/>
          <w:sz w:val="24"/>
          <w:szCs w:val="24"/>
        </w:rPr>
        <w:t>.............</w:t>
      </w:r>
      <w:r>
        <w:rPr>
          <w:sz w:val="24"/>
          <w:szCs w:val="24"/>
        </w:rPr>
        <w:t xml:space="preserve"> e inscrita no CNPJ/MF sob o nº </w:t>
      </w:r>
      <w:r>
        <w:rPr>
          <w:color w:val="FF0000"/>
          <w:sz w:val="24"/>
          <w:szCs w:val="24"/>
        </w:rPr>
        <w:t>.............</w:t>
      </w:r>
      <w:r>
        <w:rPr>
          <w:sz w:val="24"/>
          <w:szCs w:val="24"/>
        </w:rPr>
        <w:t xml:space="preserve">, representada neste ato por </w:t>
      </w:r>
      <w:r>
        <w:rPr>
          <w:color w:val="FF0000"/>
          <w:sz w:val="24"/>
          <w:szCs w:val="24"/>
        </w:rPr>
        <w:t>.............</w:t>
      </w:r>
      <w:r>
        <w:rPr>
          <w:sz w:val="24"/>
          <w:szCs w:val="24"/>
        </w:rPr>
        <w:t xml:space="preserve">, cédula de identidade nº </w:t>
      </w:r>
      <w:r>
        <w:rPr>
          <w:color w:val="FF0000"/>
          <w:sz w:val="24"/>
          <w:szCs w:val="24"/>
        </w:rPr>
        <w:t>.............</w:t>
      </w:r>
      <w:r>
        <w:rPr>
          <w:sz w:val="24"/>
          <w:szCs w:val="24"/>
        </w:rPr>
        <w:t xml:space="preserve">,  domiciliada na Rua </w:t>
      </w:r>
      <w:r>
        <w:rPr>
          <w:color w:val="FF0000"/>
          <w:sz w:val="24"/>
          <w:szCs w:val="24"/>
        </w:rPr>
        <w:t>.............</w:t>
      </w:r>
      <w:r>
        <w:rPr>
          <w:color w:val="000000"/>
          <w:sz w:val="24"/>
          <w:szCs w:val="24"/>
        </w:rPr>
        <w:t xml:space="preserve">, Cidade </w:t>
      </w:r>
      <w:r>
        <w:rPr>
          <w:color w:val="FF0000"/>
          <w:sz w:val="24"/>
          <w:szCs w:val="24"/>
        </w:rPr>
        <w:t>.............</w:t>
      </w:r>
      <w:r>
        <w:rPr>
          <w:color w:val="000000"/>
          <w:sz w:val="24"/>
          <w:szCs w:val="24"/>
        </w:rPr>
        <w:t xml:space="preserve">; </w:t>
      </w:r>
    </w:p>
    <w:p w14:paraId="434DFD27">
      <w:pPr>
        <w:rPr>
          <w:rFonts w:eastAsia="Arial"/>
          <w:b/>
          <w:sz w:val="24"/>
          <w:szCs w:val="24"/>
        </w:rPr>
      </w:pPr>
    </w:p>
    <w:p w14:paraId="72CFD3B2">
      <w:pPr>
        <w:rPr>
          <w:rFonts w:eastAsia="Arial"/>
          <w:b/>
          <w:sz w:val="24"/>
          <w:szCs w:val="24"/>
        </w:rPr>
      </w:pPr>
    </w:p>
    <w:p w14:paraId="21F58A9A">
      <w:pPr>
        <w:spacing w:line="288" w:lineRule="auto"/>
        <w:jc w:val="center"/>
        <w:rPr>
          <w:rFonts w:eastAsia="Arial"/>
          <w:b/>
          <w:sz w:val="24"/>
          <w:szCs w:val="24"/>
        </w:rPr>
      </w:pPr>
    </w:p>
    <w:tbl>
      <w:tblPr>
        <w:tblStyle w:val="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53"/>
        <w:gridCol w:w="4223"/>
      </w:tblGrid>
      <w:tr w14:paraId="69703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4" w:type="dxa"/>
            <w:shd w:val="clear" w:color="auto" w:fill="auto"/>
          </w:tcPr>
          <w:p w14:paraId="63D2E9B8">
            <w:pPr>
              <w:spacing w:line="288" w:lineRule="auto"/>
              <w:jc w:val="center"/>
              <w:rPr>
                <w:rFonts w:eastAsia="Arial"/>
                <w:b/>
                <w:sz w:val="24"/>
                <w:szCs w:val="24"/>
              </w:rPr>
            </w:pPr>
            <w:r>
              <w:rPr>
                <w:rFonts w:eastAsia="Arial"/>
                <w:b/>
                <w:sz w:val="24"/>
                <w:szCs w:val="24"/>
              </w:rPr>
              <w:t>FORNECEDOR</w:t>
            </w:r>
          </w:p>
        </w:tc>
        <w:tc>
          <w:tcPr>
            <w:tcW w:w="7072" w:type="dxa"/>
            <w:shd w:val="clear" w:color="auto" w:fill="auto"/>
          </w:tcPr>
          <w:p w14:paraId="2D5D2564">
            <w:pPr>
              <w:spacing w:line="288" w:lineRule="auto"/>
              <w:jc w:val="center"/>
              <w:rPr>
                <w:rFonts w:eastAsia="Arial"/>
                <w:b/>
                <w:sz w:val="24"/>
                <w:szCs w:val="24"/>
              </w:rPr>
            </w:pPr>
            <w:r>
              <w:rPr>
                <w:rFonts w:eastAsia="Arial"/>
                <w:b/>
                <w:sz w:val="24"/>
                <w:szCs w:val="24"/>
              </w:rPr>
              <w:t>ITEM</w:t>
            </w:r>
          </w:p>
        </w:tc>
      </w:tr>
      <w:tr w14:paraId="600A6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4" w:type="dxa"/>
            <w:shd w:val="clear" w:color="auto" w:fill="auto"/>
          </w:tcPr>
          <w:p w14:paraId="10DD6B86">
            <w:pPr>
              <w:spacing w:line="288" w:lineRule="auto"/>
              <w:jc w:val="center"/>
              <w:rPr>
                <w:rFonts w:eastAsia="Arial"/>
                <w:b/>
                <w:sz w:val="24"/>
                <w:szCs w:val="24"/>
              </w:rPr>
            </w:pPr>
          </w:p>
        </w:tc>
        <w:tc>
          <w:tcPr>
            <w:tcW w:w="7072" w:type="dxa"/>
            <w:shd w:val="clear" w:color="auto" w:fill="auto"/>
          </w:tcPr>
          <w:p w14:paraId="1972B159">
            <w:pPr>
              <w:spacing w:line="288" w:lineRule="auto"/>
              <w:jc w:val="center"/>
              <w:rPr>
                <w:rFonts w:eastAsia="Arial"/>
                <w:b/>
                <w:sz w:val="24"/>
                <w:szCs w:val="24"/>
              </w:rPr>
            </w:pPr>
          </w:p>
        </w:tc>
      </w:tr>
    </w:tbl>
    <w:p w14:paraId="6A013EE6">
      <w:pPr>
        <w:spacing w:line="360" w:lineRule="auto"/>
        <w:jc w:val="center"/>
        <w:rPr>
          <w:b/>
          <w:bCs/>
          <w:color w:val="FF0000"/>
          <w:sz w:val="24"/>
          <w:szCs w:val="24"/>
          <w:u w:val="single"/>
        </w:rPr>
      </w:pPr>
    </w:p>
    <w:p w14:paraId="0B6CB54D">
      <w:pPr>
        <w:pStyle w:val="81"/>
        <w:spacing w:before="0" w:beforeAutospacing="0" w:after="0" w:afterAutospacing="0" w:line="360" w:lineRule="auto"/>
        <w:ind w:right="-1" w:firstLine="993"/>
        <w:rPr>
          <w:rFonts w:eastAsia="Calibri"/>
          <w:b/>
          <w:bCs/>
          <w:lang w:eastAsia="en-US"/>
        </w:rPr>
      </w:pPr>
      <w:r>
        <w:rPr>
          <w:rFonts w:eastAsia="Calibri"/>
          <w:b/>
          <w:bCs/>
          <w:lang w:eastAsia="en-US"/>
        </w:rPr>
        <w:t xml:space="preserve">                                                                                                               </w:t>
      </w:r>
    </w:p>
    <w:p w14:paraId="4EED0ADB">
      <w:pPr>
        <w:pStyle w:val="81"/>
        <w:spacing w:before="0" w:beforeAutospacing="0" w:after="0" w:afterAutospacing="0" w:line="360" w:lineRule="auto"/>
        <w:ind w:right="-1" w:firstLine="993"/>
        <w:rPr>
          <w:rFonts w:eastAsia="Calibri"/>
          <w:b/>
          <w:bCs/>
          <w:lang w:eastAsia="en-US"/>
        </w:rPr>
      </w:pPr>
    </w:p>
    <w:p w14:paraId="330F5726">
      <w:pPr>
        <w:pStyle w:val="81"/>
        <w:spacing w:before="0" w:beforeAutospacing="0" w:after="0" w:afterAutospacing="0" w:line="360" w:lineRule="auto"/>
        <w:ind w:right="-1" w:firstLine="993"/>
        <w:rPr>
          <w:rFonts w:eastAsia="Calibri"/>
          <w:b/>
          <w:bCs/>
          <w:lang w:eastAsia="en-US"/>
        </w:rPr>
      </w:pPr>
    </w:p>
    <w:p w14:paraId="6C4FC310">
      <w:pPr>
        <w:pStyle w:val="81"/>
        <w:spacing w:before="0" w:beforeAutospacing="0" w:after="0" w:afterAutospacing="0" w:line="360" w:lineRule="auto"/>
        <w:ind w:right="-1" w:firstLine="993"/>
        <w:rPr>
          <w:rFonts w:eastAsia="Calibri"/>
          <w:b/>
          <w:bCs/>
          <w:lang w:eastAsia="en-US"/>
        </w:rPr>
      </w:pPr>
      <w:r>
        <w:rPr>
          <w:rFonts w:eastAsia="Calibri"/>
          <w:b/>
          <w:bCs/>
          <w:lang w:eastAsia="en-US"/>
        </w:rPr>
        <w:t xml:space="preserve">                                             ANEXO VII</w:t>
      </w:r>
    </w:p>
    <w:p w14:paraId="4AFB24E3">
      <w:pPr>
        <w:spacing w:line="288" w:lineRule="auto"/>
        <w:contextualSpacing/>
        <w:jc w:val="center"/>
        <w:rPr>
          <w:b/>
          <w:bCs/>
          <w:sz w:val="24"/>
          <w:szCs w:val="24"/>
          <w:u w:val="single"/>
        </w:rPr>
      </w:pPr>
      <w:r>
        <w:rPr>
          <w:b/>
          <w:bCs/>
          <w:sz w:val="24"/>
          <w:szCs w:val="24"/>
          <w:highlight w:val="yellow"/>
          <w:u w:val="single"/>
        </w:rPr>
        <w:t>MINUTA - CONTRATO</w:t>
      </w:r>
    </w:p>
    <w:p w14:paraId="143557EB">
      <w:pPr>
        <w:spacing w:line="288" w:lineRule="auto"/>
        <w:contextualSpacing/>
        <w:jc w:val="center"/>
        <w:rPr>
          <w:b/>
          <w:bCs/>
          <w:sz w:val="24"/>
          <w:szCs w:val="24"/>
        </w:rPr>
      </w:pPr>
    </w:p>
    <w:p w14:paraId="1FC2FDD8">
      <w:pPr>
        <w:spacing w:line="288" w:lineRule="auto"/>
        <w:contextualSpacing/>
        <w:jc w:val="center"/>
        <w:rPr>
          <w:b/>
          <w:bCs/>
          <w:sz w:val="24"/>
          <w:szCs w:val="24"/>
        </w:rPr>
      </w:pPr>
    </w:p>
    <w:p w14:paraId="4F9E2C94">
      <w:pPr>
        <w:spacing w:line="288" w:lineRule="auto"/>
        <w:contextualSpacing/>
        <w:jc w:val="both"/>
        <w:rPr>
          <w:sz w:val="24"/>
          <w:szCs w:val="24"/>
        </w:rPr>
      </w:pPr>
    </w:p>
    <w:p w14:paraId="3A0F6923">
      <w:pPr>
        <w:spacing w:line="288" w:lineRule="auto"/>
        <w:ind w:left="3544"/>
        <w:contextualSpacing/>
        <w:jc w:val="both"/>
        <w:rPr>
          <w:b/>
          <w:sz w:val="24"/>
          <w:szCs w:val="24"/>
        </w:rPr>
      </w:pPr>
      <w:r>
        <w:rPr>
          <w:b/>
          <w:sz w:val="24"/>
          <w:szCs w:val="24"/>
        </w:rPr>
        <w:t>CONTRATO Nº xxx/xxxx, DE</w:t>
      </w:r>
      <w:r>
        <w:rPr>
          <w:rFonts w:eastAsia="Cambria"/>
          <w:sz w:val="24"/>
          <w:szCs w:val="24"/>
        </w:rPr>
        <w:t xml:space="preserve"> </w:t>
      </w:r>
      <w:r>
        <w:rPr>
          <w:rFonts w:eastAsia="Cambria"/>
          <w:b/>
          <w:sz w:val="24"/>
          <w:szCs w:val="24"/>
        </w:rPr>
        <w:t xml:space="preserve">AQUISIÇÃO DE URNAS MORTUÁRIAS </w:t>
      </w:r>
      <w:r>
        <w:rPr>
          <w:b/>
          <w:sz w:val="24"/>
          <w:szCs w:val="24"/>
        </w:rPr>
        <w:t xml:space="preserve">- QUE FAZEM ENTRE SI O </w:t>
      </w:r>
      <w:r>
        <w:rPr>
          <w:b/>
          <w:bCs/>
          <w:sz w:val="24"/>
          <w:szCs w:val="24"/>
        </w:rPr>
        <w:t>MUNICÍPIO DE VALENÇA, PELA SECRETARIA DE ASSISTÊNCIA, ESPORTE E ENVELHECIMENTO SAUDÁVEL.</w:t>
      </w:r>
    </w:p>
    <w:p w14:paraId="7C414844">
      <w:pPr>
        <w:spacing w:line="288" w:lineRule="auto"/>
        <w:contextualSpacing/>
        <w:jc w:val="both"/>
        <w:rPr>
          <w:rFonts w:eastAsia="Arial"/>
          <w:b/>
          <w:bCs/>
          <w:color w:val="FF0000"/>
          <w:sz w:val="24"/>
          <w:szCs w:val="24"/>
        </w:rPr>
      </w:pPr>
    </w:p>
    <w:p w14:paraId="6F7E4FC3">
      <w:pPr>
        <w:spacing w:line="288" w:lineRule="auto"/>
        <w:contextualSpacing/>
        <w:jc w:val="both"/>
        <w:rPr>
          <w:sz w:val="24"/>
          <w:szCs w:val="24"/>
        </w:rPr>
      </w:pPr>
      <w:r>
        <w:rPr>
          <w:rFonts w:eastAsia="Arial"/>
          <w:b/>
          <w:bCs/>
          <w:sz w:val="24"/>
          <w:szCs w:val="24"/>
        </w:rPr>
        <w:t xml:space="preserve">O MUNICÍPIO DE VALENÇA, </w:t>
      </w:r>
      <w:r>
        <w:rPr>
          <w:b/>
          <w:bCs/>
          <w:sz w:val="24"/>
          <w:szCs w:val="24"/>
        </w:rPr>
        <w:t>pela SECRETARIA MUNICIPAL DE ASSISTÊNCIA, ESPORTE E ENVELHECIMENTO SAUDÁVEL</w:t>
      </w:r>
      <w:r>
        <w:rPr>
          <w:sz w:val="24"/>
          <w:szCs w:val="24"/>
        </w:rPr>
        <w:t xml:space="preserve">, com sede na </w:t>
      </w:r>
      <w:r>
        <w:rPr>
          <w:rFonts w:eastAsia="Calibri"/>
          <w:sz w:val="24"/>
          <w:szCs w:val="24"/>
          <w:lang w:eastAsia="en-US"/>
        </w:rPr>
        <w:t xml:space="preserve">Rua Comendador Araújo Leite, 373, Centro </w:t>
      </w:r>
      <w:r>
        <w:rPr>
          <w:sz w:val="24"/>
          <w:szCs w:val="24"/>
        </w:rPr>
        <w:t xml:space="preserve">na cidade de Valença, no Estado do Rio de Janeiro, inscrita no CNPJ sob o nº </w:t>
      </w:r>
      <w:r>
        <w:rPr>
          <w:rFonts w:eastAsia="Calibri"/>
          <w:sz w:val="24"/>
          <w:szCs w:val="24"/>
          <w:lang w:eastAsia="en-US"/>
        </w:rPr>
        <w:t>29.076.130/0001-90</w:t>
      </w:r>
      <w:r>
        <w:rPr>
          <w:sz w:val="24"/>
          <w:szCs w:val="24"/>
        </w:rPr>
        <w:t xml:space="preserve">, neste ato representada </w:t>
      </w:r>
      <w:r>
        <w:rPr>
          <w:rFonts w:eastAsia="Calibri"/>
          <w:sz w:val="24"/>
          <w:szCs w:val="24"/>
          <w:lang w:eastAsia="en-US"/>
        </w:rPr>
        <w:t>por xxxxxx</w:t>
      </w:r>
      <w:r>
        <w:rPr>
          <w:sz w:val="24"/>
          <w:szCs w:val="24"/>
        </w:rPr>
        <w:t xml:space="preserve">, portador do  CPF nº xxxx, doravante denominado </w:t>
      </w:r>
      <w:r>
        <w:rPr>
          <w:b/>
          <w:bCs/>
          <w:sz w:val="24"/>
          <w:szCs w:val="24"/>
        </w:rPr>
        <w:t>CONTRATANTE</w:t>
      </w:r>
      <w:r>
        <w:rPr>
          <w:sz w:val="24"/>
          <w:szCs w:val="24"/>
        </w:rPr>
        <w:t>, e .............................., com sede na ............, inscrita no CNPJ/MF sob o nº ............................, neste ato representada por .................................. (nome e função), conforme atos constitutivos da empresa &lt;</w:t>
      </w:r>
      <w:r>
        <w:rPr>
          <w:bCs/>
          <w:sz w:val="24"/>
          <w:szCs w:val="24"/>
        </w:rPr>
        <w:t>OU&gt;</w:t>
      </w:r>
      <w:r>
        <w:rPr>
          <w:sz w:val="24"/>
          <w:szCs w:val="24"/>
        </w:rPr>
        <w:t xml:space="preserve"> procuração apresentada nos autos, doravante denominado </w:t>
      </w:r>
      <w:r>
        <w:rPr>
          <w:b/>
          <w:bCs/>
          <w:sz w:val="24"/>
          <w:szCs w:val="24"/>
        </w:rPr>
        <w:t>CONTRATADO</w:t>
      </w:r>
      <w:r>
        <w:rPr>
          <w:sz w:val="24"/>
          <w:szCs w:val="24"/>
        </w:rPr>
        <w:t xml:space="preserve">, com fundamento no Processo SEI nº .............................., que se regerá pelas disposições da Lei nº 14.133, de 1º de abril de 2021, </w:t>
      </w:r>
      <w:r>
        <w:rPr>
          <w:rFonts w:eastAsia="Arial"/>
          <w:sz w:val="24"/>
          <w:szCs w:val="24"/>
        </w:rPr>
        <w:t xml:space="preserve">e pelos normativos municipais aplicáveis, todos disponíveis </w:t>
      </w:r>
      <w:r>
        <w:rPr>
          <w:sz w:val="24"/>
          <w:szCs w:val="24"/>
        </w:rPr>
        <w:t>no endereço eletrônico ........, resolvem celebrar o presente instrumento de Contrato, decorrente do instrumento convocatório nº ..., mediante as cláusulas e condições a seguir enunciadas.</w:t>
      </w:r>
    </w:p>
    <w:p w14:paraId="00383093">
      <w:pPr>
        <w:spacing w:line="288" w:lineRule="auto"/>
        <w:contextualSpacing/>
        <w:jc w:val="both"/>
        <w:rPr>
          <w:sz w:val="24"/>
          <w:szCs w:val="24"/>
        </w:rPr>
      </w:pPr>
    </w:p>
    <w:p w14:paraId="06AC30BA">
      <w:pPr>
        <w:pStyle w:val="85"/>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PRIMEIRA – OBJETO</w:t>
      </w:r>
    </w:p>
    <w:p w14:paraId="16D60154">
      <w:pPr>
        <w:spacing w:line="288" w:lineRule="auto"/>
        <w:contextualSpacing/>
        <w:rPr>
          <w:sz w:val="24"/>
          <w:szCs w:val="24"/>
        </w:rPr>
      </w:pPr>
    </w:p>
    <w:p w14:paraId="6C247621">
      <w:pPr>
        <w:spacing w:line="288" w:lineRule="auto"/>
        <w:contextualSpacing/>
        <w:jc w:val="both"/>
        <w:rPr>
          <w:color w:val="000000"/>
          <w:sz w:val="24"/>
          <w:szCs w:val="24"/>
        </w:rPr>
      </w:pPr>
      <w:r>
        <w:rPr>
          <w:rFonts w:eastAsia="Cambria"/>
          <w:sz w:val="24"/>
          <w:szCs w:val="24"/>
        </w:rPr>
        <w:t xml:space="preserve">1.1 </w:t>
      </w:r>
      <w:r>
        <w:rPr>
          <w:sz w:val="24"/>
          <w:szCs w:val="24"/>
        </w:rPr>
        <w:t>Aquisição de urnas mortuárias em madeira, destinadas ao atendimento de famílias em situação de vulnerabilidade social, no âmbito da concessão de benefícios eventuais (auxílio funeral).</w:t>
      </w:r>
    </w:p>
    <w:p w14:paraId="5FE4D501">
      <w:pPr>
        <w:pStyle w:val="83"/>
        <w:spacing w:before="0" w:after="0" w:line="288" w:lineRule="auto"/>
        <w:ind w:left="0" w:firstLine="0"/>
        <w:contextualSpacing/>
        <w:rPr>
          <w:rFonts w:ascii="Times New Roman" w:hAnsi="Times New Roman" w:cs="Times New Roman"/>
          <w:sz w:val="24"/>
          <w:szCs w:val="24"/>
        </w:rPr>
      </w:pPr>
    </w:p>
    <w:p w14:paraId="68CC6FEC">
      <w:pPr>
        <w:pStyle w:val="83"/>
        <w:numPr>
          <w:ilvl w:val="1"/>
          <w:numId w:val="4"/>
        </w:numPr>
        <w:spacing w:before="0" w:after="0" w:line="288" w:lineRule="auto"/>
        <w:contextualSpacing/>
        <w:rPr>
          <w:rFonts w:ascii="Times New Roman" w:hAnsi="Times New Roman" w:cs="Times New Roman"/>
          <w:sz w:val="24"/>
          <w:szCs w:val="24"/>
        </w:rPr>
      </w:pPr>
      <w:r>
        <w:rPr>
          <w:rFonts w:ascii="Times New Roman" w:hAnsi="Times New Roman" w:cs="Times New Roman"/>
          <w:sz w:val="24"/>
          <w:szCs w:val="24"/>
        </w:rPr>
        <w:t xml:space="preserve">Objeto da contratação: </w:t>
      </w:r>
    </w:p>
    <w:p w14:paraId="05EEB01E">
      <w:pPr>
        <w:pStyle w:val="83"/>
        <w:spacing w:before="0" w:after="0" w:line="288" w:lineRule="auto"/>
        <w:ind w:left="0" w:firstLine="0"/>
        <w:contextualSpacing/>
        <w:rPr>
          <w:rFonts w:ascii="Times New Roman" w:hAnsi="Times New Roman" w:cs="Times New Roman"/>
          <w:sz w:val="24"/>
          <w:szCs w:val="24"/>
        </w:rPr>
      </w:pPr>
    </w:p>
    <w:tbl>
      <w:tblPr>
        <w:tblStyle w:val="9"/>
        <w:tblW w:w="9649" w:type="dxa"/>
        <w:tblInd w:w="0" w:type="dxa"/>
        <w:tblLayout w:type="fixed"/>
        <w:tblCellMar>
          <w:top w:w="0" w:type="dxa"/>
          <w:left w:w="108" w:type="dxa"/>
          <w:bottom w:w="0" w:type="dxa"/>
          <w:right w:w="108" w:type="dxa"/>
        </w:tblCellMar>
      </w:tblPr>
      <w:tblGrid>
        <w:gridCol w:w="1021"/>
        <w:gridCol w:w="2240"/>
        <w:gridCol w:w="1277"/>
        <w:gridCol w:w="1134"/>
        <w:gridCol w:w="1709"/>
        <w:gridCol w:w="1279"/>
        <w:gridCol w:w="989"/>
      </w:tblGrid>
      <w:tr w14:paraId="009770A3">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30E71A48">
            <w:pPr>
              <w:widowControl w:val="0"/>
              <w:spacing w:line="288" w:lineRule="auto"/>
              <w:contextualSpacing/>
              <w:jc w:val="both"/>
              <w:rPr>
                <w:rFonts w:eastAsia="Arial"/>
                <w:b/>
                <w:bCs/>
                <w:color w:val="000000"/>
                <w:sz w:val="24"/>
                <w:szCs w:val="24"/>
              </w:rPr>
            </w:pPr>
            <w:r>
              <w:rPr>
                <w:rFonts w:eastAsia="Arial"/>
                <w:b/>
                <w:bCs/>
                <w:color w:val="000000"/>
                <w:sz w:val="24"/>
                <w:szCs w:val="24"/>
              </w:rPr>
              <w:t>ITEM</w:t>
            </w:r>
          </w:p>
          <w:p w14:paraId="2CE81C84">
            <w:pPr>
              <w:widowControl w:val="0"/>
              <w:spacing w:line="288" w:lineRule="auto"/>
              <w:contextualSpacing/>
              <w:jc w:val="both"/>
              <w:rPr>
                <w:rFonts w:eastAsia="Arial"/>
                <w:b/>
                <w:bCs/>
                <w:color w:val="000000"/>
                <w:sz w:val="24"/>
                <w:szCs w:val="24"/>
              </w:rPr>
            </w:pPr>
          </w:p>
        </w:tc>
        <w:tc>
          <w:tcPr>
            <w:tcW w:w="2240" w:type="dxa"/>
            <w:tcBorders>
              <w:top w:val="single" w:color="000000" w:sz="4" w:space="0"/>
              <w:left w:val="single" w:color="000000" w:sz="4" w:space="0"/>
              <w:bottom w:val="single" w:color="000000" w:sz="4" w:space="0"/>
              <w:right w:val="single" w:color="000000" w:sz="4" w:space="0"/>
            </w:tcBorders>
          </w:tcPr>
          <w:p w14:paraId="5F9ABE0E">
            <w:pPr>
              <w:widowControl w:val="0"/>
              <w:spacing w:line="288" w:lineRule="auto"/>
              <w:contextualSpacing/>
              <w:jc w:val="both"/>
              <w:rPr>
                <w:rFonts w:eastAsia="Arial"/>
                <w:color w:val="000000"/>
                <w:sz w:val="24"/>
                <w:szCs w:val="24"/>
              </w:rPr>
            </w:pPr>
            <w:r>
              <w:rPr>
                <w:rFonts w:eastAsia="Arial"/>
                <w:b/>
                <w:bCs/>
                <w:color w:val="000000"/>
                <w:sz w:val="24"/>
                <w:szCs w:val="24"/>
              </w:rPr>
              <w:t>ESPECIFICAÇÃO</w:t>
            </w:r>
          </w:p>
        </w:tc>
        <w:tc>
          <w:tcPr>
            <w:tcW w:w="1277" w:type="dxa"/>
            <w:tcBorders>
              <w:top w:val="single" w:color="000000" w:sz="4" w:space="0"/>
              <w:left w:val="single" w:color="000000" w:sz="4" w:space="0"/>
              <w:bottom w:val="single" w:color="000000" w:sz="4" w:space="0"/>
              <w:right w:val="single" w:color="000000" w:sz="4" w:space="0"/>
            </w:tcBorders>
          </w:tcPr>
          <w:p w14:paraId="4E7A1193">
            <w:pPr>
              <w:widowControl w:val="0"/>
              <w:spacing w:line="288" w:lineRule="auto"/>
              <w:contextualSpacing/>
              <w:jc w:val="both"/>
              <w:rPr>
                <w:rFonts w:eastAsia="Arial"/>
                <w:color w:val="000000"/>
                <w:sz w:val="24"/>
                <w:szCs w:val="24"/>
              </w:rPr>
            </w:pPr>
            <w:r>
              <w:rPr>
                <w:rFonts w:eastAsia="Arial"/>
                <w:b/>
                <w:bCs/>
                <w:color w:val="000000"/>
                <w:sz w:val="24"/>
                <w:szCs w:val="24"/>
              </w:rPr>
              <w:t>CATMAT</w:t>
            </w:r>
          </w:p>
        </w:tc>
        <w:tc>
          <w:tcPr>
            <w:tcW w:w="1134" w:type="dxa"/>
            <w:tcBorders>
              <w:top w:val="single" w:color="000000" w:sz="4" w:space="0"/>
              <w:left w:val="single" w:color="000000" w:sz="4" w:space="0"/>
              <w:bottom w:val="single" w:color="000000" w:sz="4" w:space="0"/>
              <w:right w:val="single" w:color="000000" w:sz="4" w:space="0"/>
            </w:tcBorders>
          </w:tcPr>
          <w:p w14:paraId="3C012339">
            <w:pPr>
              <w:widowControl w:val="0"/>
              <w:spacing w:line="288" w:lineRule="auto"/>
              <w:contextualSpacing/>
              <w:jc w:val="both"/>
              <w:rPr>
                <w:rFonts w:eastAsia="Arial"/>
                <w:color w:val="000000"/>
                <w:sz w:val="24"/>
                <w:szCs w:val="24"/>
              </w:rPr>
            </w:pPr>
            <w:r>
              <w:rPr>
                <w:rFonts w:eastAsia="Arial"/>
                <w:b/>
                <w:bCs/>
                <w:color w:val="000000"/>
                <w:sz w:val="24"/>
                <w:szCs w:val="24"/>
              </w:rPr>
              <w:t>UNIDADE DE MEDIDA</w:t>
            </w:r>
          </w:p>
        </w:tc>
        <w:tc>
          <w:tcPr>
            <w:tcW w:w="1709" w:type="dxa"/>
            <w:tcBorders>
              <w:top w:val="single" w:color="000000" w:sz="4" w:space="0"/>
              <w:left w:val="single" w:color="000000" w:sz="4" w:space="0"/>
              <w:bottom w:val="single" w:color="000000" w:sz="4" w:space="0"/>
              <w:right w:val="single" w:color="000000" w:sz="4" w:space="0"/>
            </w:tcBorders>
          </w:tcPr>
          <w:p w14:paraId="12B10DFD">
            <w:pPr>
              <w:widowControl w:val="0"/>
              <w:spacing w:line="288" w:lineRule="auto"/>
              <w:contextualSpacing/>
              <w:jc w:val="both"/>
              <w:rPr>
                <w:rFonts w:eastAsia="Arial"/>
                <w:b/>
                <w:bCs/>
                <w:sz w:val="24"/>
                <w:szCs w:val="24"/>
              </w:rPr>
            </w:pPr>
            <w:r>
              <w:rPr>
                <w:rFonts w:eastAsia="Arial"/>
                <w:b/>
                <w:bCs/>
                <w:sz w:val="24"/>
                <w:szCs w:val="24"/>
              </w:rPr>
              <w:t>QUANTIDADE</w:t>
            </w:r>
          </w:p>
        </w:tc>
        <w:tc>
          <w:tcPr>
            <w:tcW w:w="1279" w:type="dxa"/>
            <w:tcBorders>
              <w:top w:val="single" w:color="000000" w:sz="4" w:space="0"/>
              <w:left w:val="single" w:color="000000" w:sz="4" w:space="0"/>
              <w:bottom w:val="single" w:color="000000" w:sz="4" w:space="0"/>
              <w:right w:val="single" w:color="000000" w:sz="4" w:space="0"/>
            </w:tcBorders>
          </w:tcPr>
          <w:p w14:paraId="2D7252F1">
            <w:pPr>
              <w:widowControl w:val="0"/>
              <w:spacing w:line="288" w:lineRule="auto"/>
              <w:contextualSpacing/>
              <w:jc w:val="both"/>
              <w:rPr>
                <w:rFonts w:eastAsia="Arial"/>
                <w:b/>
                <w:bCs/>
                <w:sz w:val="24"/>
                <w:szCs w:val="24"/>
              </w:rPr>
            </w:pPr>
            <w:r>
              <w:rPr>
                <w:rFonts w:eastAsia="Arial"/>
                <w:b/>
                <w:bCs/>
                <w:sz w:val="24"/>
                <w:szCs w:val="24"/>
              </w:rPr>
              <w:t>VALOR UNITÁRIO</w:t>
            </w:r>
          </w:p>
        </w:tc>
        <w:tc>
          <w:tcPr>
            <w:tcW w:w="989" w:type="dxa"/>
            <w:tcBorders>
              <w:top w:val="single" w:color="000000" w:sz="4" w:space="0"/>
              <w:left w:val="single" w:color="000000" w:sz="4" w:space="0"/>
              <w:bottom w:val="single" w:color="000000" w:sz="4" w:space="0"/>
              <w:right w:val="single" w:color="000000" w:sz="4" w:space="0"/>
            </w:tcBorders>
          </w:tcPr>
          <w:p w14:paraId="15E4AB97">
            <w:pPr>
              <w:widowControl w:val="0"/>
              <w:spacing w:line="288" w:lineRule="auto"/>
              <w:contextualSpacing/>
              <w:jc w:val="both"/>
              <w:rPr>
                <w:rFonts w:eastAsia="Arial"/>
                <w:b/>
                <w:bCs/>
                <w:sz w:val="24"/>
                <w:szCs w:val="24"/>
              </w:rPr>
            </w:pPr>
            <w:r>
              <w:rPr>
                <w:rFonts w:eastAsia="Arial"/>
                <w:b/>
                <w:bCs/>
                <w:sz w:val="24"/>
                <w:szCs w:val="24"/>
              </w:rPr>
              <w:t>VALOR TOTAL</w:t>
            </w:r>
          </w:p>
        </w:tc>
      </w:tr>
      <w:tr w14:paraId="5234B0D8">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4CC8DA35">
            <w:pPr>
              <w:widowControl w:val="0"/>
              <w:spacing w:line="288" w:lineRule="auto"/>
              <w:contextualSpacing/>
              <w:jc w:val="both"/>
              <w:rPr>
                <w:rFonts w:eastAsia="Arial"/>
                <w:b/>
                <w:bCs/>
                <w:color w:val="000000"/>
                <w:sz w:val="24"/>
                <w:szCs w:val="24"/>
              </w:rPr>
            </w:pPr>
            <w:r>
              <w:rPr>
                <w:rFonts w:eastAsia="Arial"/>
                <w:b/>
                <w:bCs/>
                <w:color w:val="000000"/>
                <w:sz w:val="24"/>
                <w:szCs w:val="24"/>
              </w:rPr>
              <w:t>1</w:t>
            </w:r>
          </w:p>
        </w:tc>
        <w:tc>
          <w:tcPr>
            <w:tcW w:w="2240" w:type="dxa"/>
            <w:tcBorders>
              <w:top w:val="single" w:color="000000" w:sz="4" w:space="0"/>
              <w:left w:val="single" w:color="000000" w:sz="4" w:space="0"/>
              <w:bottom w:val="single" w:color="000000" w:sz="4" w:space="0"/>
              <w:right w:val="single" w:color="000000" w:sz="4" w:space="0"/>
            </w:tcBorders>
          </w:tcPr>
          <w:p w14:paraId="5067F78C">
            <w:pPr>
              <w:widowControl w:val="0"/>
              <w:spacing w:line="288" w:lineRule="auto"/>
              <w:contextualSpacing/>
              <w:jc w:val="both"/>
              <w:rPr>
                <w:rFonts w:eastAsia="Arial"/>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tcPr>
          <w:p w14:paraId="3F90A86D">
            <w:pPr>
              <w:widowControl w:val="0"/>
              <w:spacing w:line="288" w:lineRule="auto"/>
              <w:contextualSpacing/>
              <w:jc w:val="both"/>
              <w:rPr>
                <w:rFonts w:eastAsia="Arial"/>
                <w:color w:val="000000"/>
                <w:sz w:val="24"/>
                <w:szCs w:val="24"/>
              </w:rPr>
            </w:pPr>
          </w:p>
        </w:tc>
        <w:tc>
          <w:tcPr>
            <w:tcW w:w="1134" w:type="dxa"/>
            <w:tcBorders>
              <w:top w:val="single" w:color="000000" w:sz="4" w:space="0"/>
              <w:left w:val="single" w:color="000000" w:sz="4" w:space="0"/>
              <w:bottom w:val="single" w:color="000000" w:sz="4" w:space="0"/>
              <w:right w:val="single" w:color="000000" w:sz="4" w:space="0"/>
            </w:tcBorders>
          </w:tcPr>
          <w:p w14:paraId="2B9A2D06">
            <w:pPr>
              <w:widowControl w:val="0"/>
              <w:spacing w:line="288" w:lineRule="auto"/>
              <w:contextualSpacing/>
              <w:jc w:val="both"/>
              <w:rPr>
                <w:rFonts w:eastAsia="Arial"/>
                <w:color w:val="000000"/>
                <w:sz w:val="24"/>
                <w:szCs w:val="24"/>
              </w:rPr>
            </w:pPr>
          </w:p>
        </w:tc>
        <w:tc>
          <w:tcPr>
            <w:tcW w:w="1709" w:type="dxa"/>
            <w:tcBorders>
              <w:top w:val="single" w:color="000000" w:sz="4" w:space="0"/>
              <w:left w:val="single" w:color="000000" w:sz="4" w:space="0"/>
              <w:bottom w:val="single" w:color="000000" w:sz="4" w:space="0"/>
              <w:right w:val="single" w:color="000000" w:sz="4" w:space="0"/>
            </w:tcBorders>
          </w:tcPr>
          <w:p w14:paraId="54BE0756">
            <w:pPr>
              <w:widowControl w:val="0"/>
              <w:spacing w:line="288" w:lineRule="auto"/>
              <w:contextualSpacing/>
              <w:jc w:val="both"/>
              <w:rPr>
                <w:rFonts w:eastAsia="Arial"/>
                <w:color w:val="000000"/>
                <w:sz w:val="24"/>
                <w:szCs w:val="24"/>
              </w:rPr>
            </w:pPr>
          </w:p>
        </w:tc>
        <w:tc>
          <w:tcPr>
            <w:tcW w:w="1279" w:type="dxa"/>
            <w:tcBorders>
              <w:top w:val="single" w:color="000000" w:sz="4" w:space="0"/>
              <w:left w:val="single" w:color="000000" w:sz="4" w:space="0"/>
              <w:bottom w:val="single" w:color="000000" w:sz="4" w:space="0"/>
              <w:right w:val="single" w:color="000000" w:sz="4" w:space="0"/>
            </w:tcBorders>
          </w:tcPr>
          <w:p w14:paraId="192C4503">
            <w:pPr>
              <w:widowControl w:val="0"/>
              <w:spacing w:line="288" w:lineRule="auto"/>
              <w:contextualSpacing/>
              <w:jc w:val="both"/>
              <w:rPr>
                <w:rFonts w:eastAsia="Arial"/>
                <w:color w:val="000000"/>
                <w:sz w:val="24"/>
                <w:szCs w:val="24"/>
              </w:rPr>
            </w:pPr>
          </w:p>
        </w:tc>
        <w:tc>
          <w:tcPr>
            <w:tcW w:w="989" w:type="dxa"/>
            <w:tcBorders>
              <w:top w:val="single" w:color="000000" w:sz="4" w:space="0"/>
              <w:left w:val="single" w:color="000000" w:sz="4" w:space="0"/>
              <w:bottom w:val="single" w:color="000000" w:sz="4" w:space="0"/>
              <w:right w:val="single" w:color="000000" w:sz="4" w:space="0"/>
            </w:tcBorders>
          </w:tcPr>
          <w:p w14:paraId="5260449A">
            <w:pPr>
              <w:widowControl w:val="0"/>
              <w:spacing w:line="288" w:lineRule="auto"/>
              <w:contextualSpacing/>
              <w:jc w:val="both"/>
              <w:rPr>
                <w:rFonts w:eastAsia="Arial"/>
                <w:color w:val="000000"/>
                <w:sz w:val="24"/>
                <w:szCs w:val="24"/>
              </w:rPr>
            </w:pPr>
          </w:p>
        </w:tc>
      </w:tr>
      <w:tr w14:paraId="4A64B0C5">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4A7133B2">
            <w:pPr>
              <w:widowControl w:val="0"/>
              <w:spacing w:line="288" w:lineRule="auto"/>
              <w:contextualSpacing/>
              <w:jc w:val="both"/>
              <w:rPr>
                <w:rFonts w:eastAsia="Arial"/>
                <w:b/>
                <w:bCs/>
                <w:color w:val="000000"/>
                <w:sz w:val="24"/>
                <w:szCs w:val="24"/>
              </w:rPr>
            </w:pPr>
            <w:r>
              <w:rPr>
                <w:rFonts w:eastAsia="Arial"/>
                <w:b/>
                <w:bCs/>
                <w:color w:val="000000"/>
                <w:sz w:val="24"/>
                <w:szCs w:val="24"/>
              </w:rPr>
              <w:t>2</w:t>
            </w:r>
          </w:p>
        </w:tc>
        <w:tc>
          <w:tcPr>
            <w:tcW w:w="2240" w:type="dxa"/>
            <w:tcBorders>
              <w:top w:val="single" w:color="000000" w:sz="4" w:space="0"/>
              <w:left w:val="single" w:color="000000" w:sz="4" w:space="0"/>
              <w:bottom w:val="single" w:color="000000" w:sz="4" w:space="0"/>
              <w:right w:val="single" w:color="000000" w:sz="4" w:space="0"/>
            </w:tcBorders>
          </w:tcPr>
          <w:p w14:paraId="73D91CB6">
            <w:pPr>
              <w:widowControl w:val="0"/>
              <w:spacing w:line="288" w:lineRule="auto"/>
              <w:contextualSpacing/>
              <w:jc w:val="both"/>
              <w:rPr>
                <w:rFonts w:eastAsia="Arial"/>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tcPr>
          <w:p w14:paraId="6B2F6548">
            <w:pPr>
              <w:widowControl w:val="0"/>
              <w:spacing w:line="288" w:lineRule="auto"/>
              <w:contextualSpacing/>
              <w:jc w:val="both"/>
              <w:rPr>
                <w:rFonts w:eastAsia="Arial"/>
                <w:color w:val="000000"/>
                <w:sz w:val="24"/>
                <w:szCs w:val="24"/>
              </w:rPr>
            </w:pPr>
          </w:p>
        </w:tc>
        <w:tc>
          <w:tcPr>
            <w:tcW w:w="1134" w:type="dxa"/>
            <w:tcBorders>
              <w:top w:val="single" w:color="000000" w:sz="4" w:space="0"/>
              <w:left w:val="single" w:color="000000" w:sz="4" w:space="0"/>
              <w:bottom w:val="single" w:color="000000" w:sz="4" w:space="0"/>
              <w:right w:val="single" w:color="000000" w:sz="4" w:space="0"/>
            </w:tcBorders>
          </w:tcPr>
          <w:p w14:paraId="144D5C0B">
            <w:pPr>
              <w:widowControl w:val="0"/>
              <w:spacing w:line="288" w:lineRule="auto"/>
              <w:contextualSpacing/>
              <w:jc w:val="both"/>
              <w:rPr>
                <w:rFonts w:eastAsia="Arial"/>
                <w:color w:val="000000"/>
                <w:sz w:val="24"/>
                <w:szCs w:val="24"/>
              </w:rPr>
            </w:pPr>
          </w:p>
        </w:tc>
        <w:tc>
          <w:tcPr>
            <w:tcW w:w="1709" w:type="dxa"/>
            <w:tcBorders>
              <w:top w:val="single" w:color="000000" w:sz="4" w:space="0"/>
              <w:left w:val="single" w:color="000000" w:sz="4" w:space="0"/>
              <w:bottom w:val="single" w:color="000000" w:sz="4" w:space="0"/>
              <w:right w:val="single" w:color="000000" w:sz="4" w:space="0"/>
            </w:tcBorders>
          </w:tcPr>
          <w:p w14:paraId="76D0C039">
            <w:pPr>
              <w:widowControl w:val="0"/>
              <w:spacing w:line="288" w:lineRule="auto"/>
              <w:contextualSpacing/>
              <w:jc w:val="both"/>
              <w:rPr>
                <w:rFonts w:eastAsia="Arial"/>
                <w:color w:val="000000"/>
                <w:sz w:val="24"/>
                <w:szCs w:val="24"/>
              </w:rPr>
            </w:pPr>
          </w:p>
        </w:tc>
        <w:tc>
          <w:tcPr>
            <w:tcW w:w="1279" w:type="dxa"/>
            <w:tcBorders>
              <w:top w:val="single" w:color="000000" w:sz="4" w:space="0"/>
              <w:left w:val="single" w:color="000000" w:sz="4" w:space="0"/>
              <w:bottom w:val="single" w:color="000000" w:sz="4" w:space="0"/>
              <w:right w:val="single" w:color="000000" w:sz="4" w:space="0"/>
            </w:tcBorders>
          </w:tcPr>
          <w:p w14:paraId="416B4DAF">
            <w:pPr>
              <w:widowControl w:val="0"/>
              <w:spacing w:line="288" w:lineRule="auto"/>
              <w:contextualSpacing/>
              <w:jc w:val="both"/>
              <w:rPr>
                <w:rFonts w:eastAsia="Arial"/>
                <w:color w:val="000000"/>
                <w:sz w:val="24"/>
                <w:szCs w:val="24"/>
              </w:rPr>
            </w:pPr>
          </w:p>
        </w:tc>
        <w:tc>
          <w:tcPr>
            <w:tcW w:w="989" w:type="dxa"/>
            <w:tcBorders>
              <w:top w:val="single" w:color="000000" w:sz="4" w:space="0"/>
              <w:left w:val="single" w:color="000000" w:sz="4" w:space="0"/>
              <w:bottom w:val="single" w:color="000000" w:sz="4" w:space="0"/>
              <w:right w:val="single" w:color="000000" w:sz="4" w:space="0"/>
            </w:tcBorders>
          </w:tcPr>
          <w:p w14:paraId="4C8FF988">
            <w:pPr>
              <w:widowControl w:val="0"/>
              <w:spacing w:line="288" w:lineRule="auto"/>
              <w:contextualSpacing/>
              <w:jc w:val="both"/>
              <w:rPr>
                <w:rFonts w:eastAsia="Arial"/>
                <w:color w:val="000000"/>
                <w:sz w:val="24"/>
                <w:szCs w:val="24"/>
              </w:rPr>
            </w:pPr>
          </w:p>
        </w:tc>
      </w:tr>
      <w:tr w14:paraId="3D840CA1">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13DE51A8">
            <w:pPr>
              <w:widowControl w:val="0"/>
              <w:spacing w:line="288" w:lineRule="auto"/>
              <w:contextualSpacing/>
              <w:jc w:val="both"/>
              <w:rPr>
                <w:rFonts w:eastAsia="Arial"/>
                <w:b/>
                <w:bCs/>
                <w:color w:val="000000"/>
                <w:sz w:val="24"/>
                <w:szCs w:val="24"/>
              </w:rPr>
            </w:pPr>
            <w:r>
              <w:rPr>
                <w:rFonts w:eastAsia="Arial"/>
                <w:b/>
                <w:bCs/>
                <w:color w:val="000000"/>
                <w:sz w:val="24"/>
                <w:szCs w:val="24"/>
              </w:rPr>
              <w:t>3</w:t>
            </w:r>
          </w:p>
        </w:tc>
        <w:tc>
          <w:tcPr>
            <w:tcW w:w="2240" w:type="dxa"/>
            <w:tcBorders>
              <w:top w:val="single" w:color="000000" w:sz="4" w:space="0"/>
              <w:left w:val="single" w:color="000000" w:sz="4" w:space="0"/>
              <w:bottom w:val="single" w:color="000000" w:sz="4" w:space="0"/>
              <w:right w:val="single" w:color="000000" w:sz="4" w:space="0"/>
            </w:tcBorders>
          </w:tcPr>
          <w:p w14:paraId="52EF5693">
            <w:pPr>
              <w:widowControl w:val="0"/>
              <w:spacing w:line="288" w:lineRule="auto"/>
              <w:contextualSpacing/>
              <w:jc w:val="both"/>
              <w:rPr>
                <w:rFonts w:eastAsia="Arial"/>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tcPr>
          <w:p w14:paraId="42D91640">
            <w:pPr>
              <w:widowControl w:val="0"/>
              <w:spacing w:line="288" w:lineRule="auto"/>
              <w:contextualSpacing/>
              <w:jc w:val="both"/>
              <w:rPr>
                <w:rFonts w:eastAsia="Arial"/>
                <w:color w:val="000000"/>
                <w:sz w:val="24"/>
                <w:szCs w:val="24"/>
              </w:rPr>
            </w:pPr>
          </w:p>
        </w:tc>
        <w:tc>
          <w:tcPr>
            <w:tcW w:w="1134" w:type="dxa"/>
            <w:tcBorders>
              <w:top w:val="single" w:color="000000" w:sz="4" w:space="0"/>
              <w:left w:val="single" w:color="000000" w:sz="4" w:space="0"/>
              <w:bottom w:val="single" w:color="000000" w:sz="4" w:space="0"/>
              <w:right w:val="single" w:color="000000" w:sz="4" w:space="0"/>
            </w:tcBorders>
          </w:tcPr>
          <w:p w14:paraId="1D376EB8">
            <w:pPr>
              <w:widowControl w:val="0"/>
              <w:spacing w:line="288" w:lineRule="auto"/>
              <w:contextualSpacing/>
              <w:jc w:val="both"/>
              <w:rPr>
                <w:rFonts w:eastAsia="Arial"/>
                <w:color w:val="000000"/>
                <w:sz w:val="24"/>
                <w:szCs w:val="24"/>
              </w:rPr>
            </w:pPr>
          </w:p>
        </w:tc>
        <w:tc>
          <w:tcPr>
            <w:tcW w:w="1709" w:type="dxa"/>
            <w:tcBorders>
              <w:top w:val="single" w:color="000000" w:sz="4" w:space="0"/>
              <w:left w:val="single" w:color="000000" w:sz="4" w:space="0"/>
              <w:bottom w:val="single" w:color="000000" w:sz="4" w:space="0"/>
              <w:right w:val="single" w:color="000000" w:sz="4" w:space="0"/>
            </w:tcBorders>
          </w:tcPr>
          <w:p w14:paraId="729F37AC">
            <w:pPr>
              <w:widowControl w:val="0"/>
              <w:spacing w:line="288" w:lineRule="auto"/>
              <w:contextualSpacing/>
              <w:jc w:val="both"/>
              <w:rPr>
                <w:rFonts w:eastAsia="Arial"/>
                <w:color w:val="000000"/>
                <w:sz w:val="24"/>
                <w:szCs w:val="24"/>
              </w:rPr>
            </w:pPr>
          </w:p>
        </w:tc>
        <w:tc>
          <w:tcPr>
            <w:tcW w:w="1279" w:type="dxa"/>
            <w:tcBorders>
              <w:top w:val="single" w:color="000000" w:sz="4" w:space="0"/>
              <w:left w:val="single" w:color="000000" w:sz="4" w:space="0"/>
              <w:bottom w:val="single" w:color="000000" w:sz="4" w:space="0"/>
              <w:right w:val="single" w:color="000000" w:sz="4" w:space="0"/>
            </w:tcBorders>
          </w:tcPr>
          <w:p w14:paraId="6127AF7A">
            <w:pPr>
              <w:widowControl w:val="0"/>
              <w:spacing w:line="288" w:lineRule="auto"/>
              <w:contextualSpacing/>
              <w:jc w:val="both"/>
              <w:rPr>
                <w:rFonts w:eastAsia="Arial"/>
                <w:color w:val="000000"/>
                <w:sz w:val="24"/>
                <w:szCs w:val="24"/>
              </w:rPr>
            </w:pPr>
          </w:p>
        </w:tc>
        <w:tc>
          <w:tcPr>
            <w:tcW w:w="989" w:type="dxa"/>
            <w:tcBorders>
              <w:top w:val="single" w:color="000000" w:sz="4" w:space="0"/>
              <w:left w:val="single" w:color="000000" w:sz="4" w:space="0"/>
              <w:bottom w:val="single" w:color="000000" w:sz="4" w:space="0"/>
              <w:right w:val="single" w:color="000000" w:sz="4" w:space="0"/>
            </w:tcBorders>
          </w:tcPr>
          <w:p w14:paraId="4A83CE09">
            <w:pPr>
              <w:widowControl w:val="0"/>
              <w:spacing w:line="288" w:lineRule="auto"/>
              <w:contextualSpacing/>
              <w:jc w:val="both"/>
              <w:rPr>
                <w:rFonts w:eastAsia="Arial"/>
                <w:color w:val="000000"/>
                <w:sz w:val="24"/>
                <w:szCs w:val="24"/>
              </w:rPr>
            </w:pPr>
          </w:p>
        </w:tc>
      </w:tr>
      <w:tr w14:paraId="1100C7D5">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0DE562C5">
            <w:pPr>
              <w:widowControl w:val="0"/>
              <w:spacing w:line="288" w:lineRule="auto"/>
              <w:contextualSpacing/>
              <w:jc w:val="both"/>
              <w:rPr>
                <w:rFonts w:eastAsia="Arial"/>
                <w:b/>
                <w:bCs/>
                <w:color w:val="000000"/>
                <w:sz w:val="24"/>
                <w:szCs w:val="24"/>
              </w:rPr>
            </w:pPr>
            <w:r>
              <w:rPr>
                <w:rFonts w:eastAsia="Arial"/>
                <w:b/>
                <w:bCs/>
                <w:color w:val="000000"/>
                <w:sz w:val="24"/>
                <w:szCs w:val="24"/>
              </w:rPr>
              <w:t>...</w:t>
            </w:r>
          </w:p>
        </w:tc>
        <w:tc>
          <w:tcPr>
            <w:tcW w:w="2240" w:type="dxa"/>
            <w:tcBorders>
              <w:top w:val="single" w:color="000000" w:sz="4" w:space="0"/>
              <w:left w:val="single" w:color="000000" w:sz="4" w:space="0"/>
              <w:bottom w:val="single" w:color="000000" w:sz="4" w:space="0"/>
              <w:right w:val="single" w:color="000000" w:sz="4" w:space="0"/>
            </w:tcBorders>
          </w:tcPr>
          <w:p w14:paraId="340AD0B8">
            <w:pPr>
              <w:widowControl w:val="0"/>
              <w:spacing w:line="288" w:lineRule="auto"/>
              <w:contextualSpacing/>
              <w:jc w:val="both"/>
              <w:rPr>
                <w:rFonts w:eastAsia="Arial"/>
                <w:sz w:val="24"/>
                <w:szCs w:val="24"/>
              </w:rPr>
            </w:pPr>
          </w:p>
        </w:tc>
        <w:tc>
          <w:tcPr>
            <w:tcW w:w="1277" w:type="dxa"/>
            <w:tcBorders>
              <w:top w:val="single" w:color="000000" w:sz="4" w:space="0"/>
              <w:left w:val="single" w:color="000000" w:sz="4" w:space="0"/>
              <w:bottom w:val="single" w:color="000000" w:sz="4" w:space="0"/>
              <w:right w:val="single" w:color="000000" w:sz="4" w:space="0"/>
            </w:tcBorders>
          </w:tcPr>
          <w:p w14:paraId="1DF602AE">
            <w:pPr>
              <w:widowControl w:val="0"/>
              <w:spacing w:line="288" w:lineRule="auto"/>
              <w:contextualSpacing/>
              <w:jc w:val="both"/>
              <w:rPr>
                <w:rFonts w:eastAsia="Arial"/>
                <w:color w:val="000000"/>
                <w:sz w:val="24"/>
                <w:szCs w:val="24"/>
              </w:rPr>
            </w:pPr>
          </w:p>
        </w:tc>
        <w:tc>
          <w:tcPr>
            <w:tcW w:w="1134" w:type="dxa"/>
            <w:tcBorders>
              <w:top w:val="single" w:color="000000" w:sz="4" w:space="0"/>
              <w:left w:val="single" w:color="000000" w:sz="4" w:space="0"/>
              <w:bottom w:val="single" w:color="000000" w:sz="4" w:space="0"/>
              <w:right w:val="single" w:color="000000" w:sz="4" w:space="0"/>
            </w:tcBorders>
          </w:tcPr>
          <w:p w14:paraId="01D18CE7">
            <w:pPr>
              <w:widowControl w:val="0"/>
              <w:spacing w:line="288" w:lineRule="auto"/>
              <w:contextualSpacing/>
              <w:jc w:val="both"/>
              <w:rPr>
                <w:rFonts w:eastAsia="Arial"/>
                <w:color w:val="000000"/>
                <w:sz w:val="24"/>
                <w:szCs w:val="24"/>
              </w:rPr>
            </w:pPr>
          </w:p>
        </w:tc>
        <w:tc>
          <w:tcPr>
            <w:tcW w:w="1709" w:type="dxa"/>
            <w:tcBorders>
              <w:top w:val="single" w:color="000000" w:sz="4" w:space="0"/>
              <w:left w:val="single" w:color="000000" w:sz="4" w:space="0"/>
              <w:bottom w:val="single" w:color="000000" w:sz="4" w:space="0"/>
              <w:right w:val="single" w:color="000000" w:sz="4" w:space="0"/>
            </w:tcBorders>
          </w:tcPr>
          <w:p w14:paraId="5F173C87">
            <w:pPr>
              <w:widowControl w:val="0"/>
              <w:spacing w:line="288" w:lineRule="auto"/>
              <w:contextualSpacing/>
              <w:jc w:val="both"/>
              <w:rPr>
                <w:rFonts w:eastAsia="Arial"/>
                <w:color w:val="000000"/>
                <w:sz w:val="24"/>
                <w:szCs w:val="24"/>
              </w:rPr>
            </w:pPr>
          </w:p>
        </w:tc>
        <w:tc>
          <w:tcPr>
            <w:tcW w:w="1279" w:type="dxa"/>
            <w:tcBorders>
              <w:top w:val="single" w:color="000000" w:sz="4" w:space="0"/>
              <w:left w:val="single" w:color="000000" w:sz="4" w:space="0"/>
              <w:bottom w:val="single" w:color="000000" w:sz="4" w:space="0"/>
              <w:right w:val="single" w:color="000000" w:sz="4" w:space="0"/>
            </w:tcBorders>
          </w:tcPr>
          <w:p w14:paraId="1979F33F">
            <w:pPr>
              <w:widowControl w:val="0"/>
              <w:spacing w:line="288" w:lineRule="auto"/>
              <w:contextualSpacing/>
              <w:jc w:val="both"/>
              <w:rPr>
                <w:rFonts w:eastAsia="Arial"/>
                <w:color w:val="000000"/>
                <w:sz w:val="24"/>
                <w:szCs w:val="24"/>
              </w:rPr>
            </w:pPr>
          </w:p>
        </w:tc>
        <w:tc>
          <w:tcPr>
            <w:tcW w:w="989" w:type="dxa"/>
            <w:tcBorders>
              <w:top w:val="single" w:color="000000" w:sz="4" w:space="0"/>
              <w:left w:val="single" w:color="000000" w:sz="4" w:space="0"/>
              <w:bottom w:val="single" w:color="000000" w:sz="4" w:space="0"/>
              <w:right w:val="single" w:color="000000" w:sz="4" w:space="0"/>
            </w:tcBorders>
          </w:tcPr>
          <w:p w14:paraId="76756717">
            <w:pPr>
              <w:widowControl w:val="0"/>
              <w:spacing w:line="288" w:lineRule="auto"/>
              <w:contextualSpacing/>
              <w:jc w:val="both"/>
              <w:rPr>
                <w:rFonts w:eastAsia="Arial"/>
                <w:color w:val="000000"/>
                <w:sz w:val="24"/>
                <w:szCs w:val="24"/>
              </w:rPr>
            </w:pPr>
          </w:p>
        </w:tc>
      </w:tr>
    </w:tbl>
    <w:p w14:paraId="65FEEE33">
      <w:pPr>
        <w:autoSpaceDE w:val="0"/>
        <w:spacing w:line="288" w:lineRule="auto"/>
        <w:contextualSpacing/>
        <w:jc w:val="both"/>
        <w:rPr>
          <w:sz w:val="24"/>
          <w:szCs w:val="24"/>
          <w:lang w:val="zh-CN"/>
        </w:rPr>
      </w:pPr>
      <w:r>
        <w:rPr>
          <w:sz w:val="24"/>
          <w:szCs w:val="24"/>
          <w:lang w:val="zh-CN"/>
        </w:rPr>
        <w:tab/>
      </w:r>
    </w:p>
    <w:p w14:paraId="26D930C2">
      <w:pPr>
        <w:pStyle w:val="83"/>
        <w:tabs>
          <w:tab w:val="left" w:pos="1620"/>
        </w:tabs>
        <w:spacing w:before="0" w:after="0" w:line="288" w:lineRule="auto"/>
        <w:ind w:left="0" w:firstLine="0"/>
        <w:contextualSpacing/>
        <w:rPr>
          <w:rFonts w:ascii="Times New Roman" w:hAnsi="Times New Roman" w:cs="Times New Roman"/>
          <w:sz w:val="24"/>
          <w:szCs w:val="24"/>
          <w:lang w:val="zh-CN"/>
        </w:rPr>
      </w:pPr>
      <w:r>
        <w:rPr>
          <w:rFonts w:ascii="Times New Roman" w:hAnsi="Times New Roman" w:cs="Times New Roman"/>
          <w:sz w:val="24"/>
          <w:szCs w:val="24"/>
        </w:rPr>
        <w:t xml:space="preserve"> 1.3    São anexos a este instrumento e vinculam esta contratação, independentemente de transcrição:</w:t>
      </w:r>
    </w:p>
    <w:p w14:paraId="75303965">
      <w:pPr>
        <w:pStyle w:val="83"/>
        <w:spacing w:before="0" w:after="0" w:line="288" w:lineRule="auto"/>
        <w:ind w:left="0" w:firstLine="0"/>
        <w:contextualSpacing/>
        <w:rPr>
          <w:rFonts w:ascii="Times New Roman" w:hAnsi="Times New Roman" w:cs="Times New Roman"/>
          <w:sz w:val="24"/>
          <w:szCs w:val="24"/>
          <w:lang w:val="zh-CN"/>
        </w:rPr>
      </w:pPr>
    </w:p>
    <w:p w14:paraId="5616DD5D">
      <w:pPr>
        <w:pStyle w:val="86"/>
        <w:spacing w:before="0" w:after="0" w:line="288" w:lineRule="auto"/>
        <w:ind w:left="0" w:firstLine="0"/>
        <w:contextualSpacing/>
        <w:rPr>
          <w:rFonts w:ascii="Times New Roman" w:hAnsi="Times New Roman" w:cs="Times New Roman"/>
          <w:color w:val="auto"/>
          <w:sz w:val="24"/>
          <w:szCs w:val="24"/>
          <w:lang w:val="zh-CN"/>
        </w:rPr>
      </w:pPr>
      <w:r>
        <w:rPr>
          <w:rFonts w:ascii="Times New Roman" w:hAnsi="Times New Roman" w:cs="Times New Roman"/>
          <w:color w:val="auto"/>
          <w:sz w:val="24"/>
          <w:szCs w:val="24"/>
        </w:rPr>
        <w:t>1.3.1 O Termo de Referência que embasou a contratação;</w:t>
      </w:r>
    </w:p>
    <w:p w14:paraId="4637146C">
      <w:pPr>
        <w:pStyle w:val="86"/>
        <w:spacing w:before="0" w:after="0" w:line="288" w:lineRule="auto"/>
        <w:ind w:left="0" w:firstLine="0"/>
        <w:contextualSpacing/>
        <w:rPr>
          <w:rFonts w:ascii="Times New Roman" w:hAnsi="Times New Roman" w:cs="Times New Roman"/>
          <w:color w:val="auto"/>
          <w:sz w:val="24"/>
          <w:szCs w:val="24"/>
          <w:lang w:val="zh-CN"/>
        </w:rPr>
      </w:pPr>
    </w:p>
    <w:p w14:paraId="4A1752B1">
      <w:pPr>
        <w:pStyle w:val="86"/>
        <w:spacing w:before="0" w:after="0" w:line="288" w:lineRule="auto"/>
        <w:ind w:left="0" w:firstLine="0"/>
        <w:contextualSpacing/>
        <w:rPr>
          <w:rFonts w:ascii="Times New Roman" w:hAnsi="Times New Roman" w:cs="Times New Roman"/>
          <w:color w:val="auto"/>
          <w:sz w:val="24"/>
          <w:szCs w:val="24"/>
          <w:lang w:val="zh-CN"/>
        </w:rPr>
      </w:pPr>
      <w:r>
        <w:rPr>
          <w:rFonts w:ascii="Times New Roman" w:hAnsi="Times New Roman" w:cs="Times New Roman"/>
          <w:sz w:val="24"/>
          <w:szCs w:val="24"/>
        </w:rPr>
        <w:t>1.3.2 O instrumento convocatório, assim considerado o Edital de Licitação ou o Aviso de Contratação Direta, conforme o caso</w:t>
      </w:r>
      <w:r>
        <w:rPr>
          <w:rFonts w:ascii="Times New Roman" w:hAnsi="Times New Roman" w:cs="Times New Roman"/>
          <w:color w:val="auto"/>
          <w:sz w:val="24"/>
          <w:szCs w:val="24"/>
        </w:rPr>
        <w:t>;</w:t>
      </w:r>
    </w:p>
    <w:p w14:paraId="7BCC39DF">
      <w:pPr>
        <w:pStyle w:val="86"/>
        <w:spacing w:before="0" w:after="0" w:line="288" w:lineRule="auto"/>
        <w:ind w:left="0" w:firstLine="0"/>
        <w:contextualSpacing/>
        <w:rPr>
          <w:rFonts w:ascii="Times New Roman" w:hAnsi="Times New Roman" w:cs="Times New Roman"/>
          <w:color w:val="auto"/>
          <w:sz w:val="24"/>
          <w:szCs w:val="24"/>
          <w:lang w:val="zh-CN"/>
        </w:rPr>
      </w:pPr>
    </w:p>
    <w:p w14:paraId="64D51D97">
      <w:pPr>
        <w:pStyle w:val="86"/>
        <w:spacing w:before="0" w:after="0" w:line="288" w:lineRule="auto"/>
        <w:ind w:left="0" w:firstLine="0"/>
        <w:contextualSpacing/>
        <w:rPr>
          <w:rFonts w:ascii="Times New Roman" w:hAnsi="Times New Roman" w:cs="Times New Roman"/>
          <w:color w:val="auto"/>
          <w:sz w:val="24"/>
          <w:szCs w:val="24"/>
          <w:lang w:val="zh-CN"/>
        </w:rPr>
      </w:pPr>
      <w:r>
        <w:rPr>
          <w:rFonts w:ascii="Times New Roman" w:hAnsi="Times New Roman" w:cs="Times New Roman"/>
          <w:color w:val="auto"/>
          <w:sz w:val="24"/>
          <w:szCs w:val="24"/>
        </w:rPr>
        <w:t xml:space="preserve">1.3.3 A Proposta do </w:t>
      </w:r>
      <w:r>
        <w:rPr>
          <w:rFonts w:ascii="Times New Roman" w:hAnsi="Times New Roman" w:eastAsia="Arial" w:cs="Times New Roman"/>
          <w:b/>
          <w:bCs/>
          <w:sz w:val="24"/>
          <w:szCs w:val="24"/>
        </w:rPr>
        <w:t>CONTRATADO</w:t>
      </w:r>
      <w:r>
        <w:rPr>
          <w:rFonts w:ascii="Times New Roman" w:hAnsi="Times New Roman" w:cs="Times New Roman"/>
          <w:color w:val="auto"/>
          <w:sz w:val="24"/>
          <w:szCs w:val="24"/>
        </w:rPr>
        <w:t xml:space="preserve">, </w:t>
      </w:r>
      <w:r>
        <w:rPr>
          <w:rFonts w:ascii="Times New Roman" w:hAnsi="Times New Roman" w:cs="Times New Roman"/>
          <w:sz w:val="24"/>
          <w:szCs w:val="24"/>
        </w:rPr>
        <w:t>que, em caso de divergência com as condições estabelecidas neste Contrato e nos demais instrumentos anexos, cederá àquelas</w:t>
      </w:r>
      <w:r>
        <w:rPr>
          <w:rFonts w:ascii="Times New Roman" w:hAnsi="Times New Roman" w:cs="Times New Roman"/>
          <w:color w:val="auto"/>
          <w:sz w:val="24"/>
          <w:szCs w:val="24"/>
        </w:rPr>
        <w:t>;</w:t>
      </w:r>
    </w:p>
    <w:p w14:paraId="5EDD142D">
      <w:pPr>
        <w:pStyle w:val="86"/>
        <w:spacing w:before="0" w:after="0" w:line="288" w:lineRule="auto"/>
        <w:ind w:left="0" w:firstLine="0"/>
        <w:contextualSpacing/>
        <w:rPr>
          <w:rFonts w:ascii="Times New Roman" w:hAnsi="Times New Roman" w:cs="Times New Roman"/>
          <w:color w:val="auto"/>
          <w:sz w:val="24"/>
          <w:szCs w:val="24"/>
          <w:lang w:val="zh-CN"/>
        </w:rPr>
      </w:pPr>
    </w:p>
    <w:p w14:paraId="625BF8E2">
      <w:pPr>
        <w:pStyle w:val="86"/>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1.3.4 Eventuais </w:t>
      </w:r>
      <w:r>
        <w:rPr>
          <w:rFonts w:ascii="Times New Roman" w:hAnsi="Times New Roman" w:cs="Times New Roman"/>
          <w:sz w:val="24"/>
          <w:szCs w:val="24"/>
        </w:rPr>
        <w:t>anexos dos documentos supracitados.</w:t>
      </w:r>
    </w:p>
    <w:p w14:paraId="7D67DD93">
      <w:pPr>
        <w:pStyle w:val="86"/>
        <w:spacing w:before="0" w:after="0" w:line="288" w:lineRule="auto"/>
        <w:ind w:left="0" w:firstLine="0"/>
        <w:contextualSpacing/>
        <w:rPr>
          <w:rFonts w:ascii="Times New Roman" w:hAnsi="Times New Roman" w:cs="Times New Roman"/>
          <w:sz w:val="24"/>
          <w:szCs w:val="24"/>
          <w:lang w:val="zh-CN"/>
        </w:rPr>
      </w:pPr>
    </w:p>
    <w:p w14:paraId="14AC4AB0">
      <w:pPr>
        <w:spacing w:line="288" w:lineRule="auto"/>
        <w:contextualSpacing/>
        <w:jc w:val="both"/>
        <w:rPr>
          <w:sz w:val="24"/>
          <w:szCs w:val="24"/>
        </w:rPr>
      </w:pPr>
      <w:r>
        <w:rPr>
          <w:sz w:val="24"/>
          <w:szCs w:val="24"/>
        </w:rPr>
        <w:t>1.4 Havendo qualquer divergência entre as disposições deste instrumento e dos seus Anexos, como o Termo de Referência, prevalecerá o disposto no presente Contrato.</w:t>
      </w:r>
    </w:p>
    <w:p w14:paraId="30BA0633">
      <w:pPr>
        <w:spacing w:line="288" w:lineRule="auto"/>
        <w:contextualSpacing/>
        <w:jc w:val="both"/>
        <w:rPr>
          <w:sz w:val="24"/>
          <w:szCs w:val="24"/>
        </w:rPr>
      </w:pPr>
    </w:p>
    <w:p w14:paraId="2F5C5730">
      <w:pPr>
        <w:pStyle w:val="90"/>
        <w:numPr>
          <w:ilvl w:val="0"/>
          <w:numId w:val="0"/>
        </w:numPr>
        <w:spacing w:before="0" w:after="0" w:line="288" w:lineRule="auto"/>
        <w:contextualSpacing/>
        <w:rPr>
          <w:rFonts w:ascii="Times New Roman" w:hAnsi="Times New Roman" w:cs="Times New Roman"/>
          <w:color w:val="auto"/>
          <w:sz w:val="24"/>
          <w:szCs w:val="24"/>
        </w:rPr>
      </w:pPr>
      <w:r>
        <w:rPr>
          <w:rFonts w:ascii="Times New Roman" w:hAnsi="Times New Roman" w:cs="Times New Roman"/>
          <w:color w:val="auto"/>
          <w:sz w:val="24"/>
          <w:szCs w:val="24"/>
        </w:rPr>
        <w:t>CLÁUSULA SEGUNDA – VIGÊNCIA E PRORROGAÇÃO</w:t>
      </w:r>
    </w:p>
    <w:p w14:paraId="04898D41">
      <w:pPr>
        <w:spacing w:line="288" w:lineRule="auto"/>
        <w:contextualSpacing/>
        <w:jc w:val="both"/>
        <w:rPr>
          <w:sz w:val="24"/>
          <w:szCs w:val="24"/>
        </w:rPr>
      </w:pPr>
    </w:p>
    <w:p w14:paraId="2BFCAEA9">
      <w:pPr>
        <w:tabs>
          <w:tab w:val="left" w:pos="7938"/>
        </w:tabs>
        <w:spacing w:line="288" w:lineRule="auto"/>
        <w:ind w:right="849"/>
        <w:contextualSpacing/>
        <w:jc w:val="both"/>
        <w:rPr>
          <w:bCs/>
          <w:color w:val="000000" w:themeColor="text1"/>
          <w:sz w:val="24"/>
          <w:szCs w:val="24"/>
          <w14:textFill>
            <w14:solidFill>
              <w14:schemeClr w14:val="tx1"/>
            </w14:solidFill>
          </w14:textFill>
        </w:rPr>
      </w:pPr>
      <w:r>
        <w:rPr>
          <w:bCs/>
          <w:color w:val="000000" w:themeColor="text1"/>
          <w:sz w:val="24"/>
          <w:szCs w:val="24"/>
          <w14:textFill>
            <w14:solidFill>
              <w14:schemeClr w14:val="tx1"/>
            </w14:solidFill>
          </w14:textFill>
        </w:rPr>
        <w:t>2.1 O prazo de vigência do Contrato é de 12</w:t>
      </w:r>
      <w:r>
        <w:rPr>
          <w:rFonts w:eastAsia="Arial"/>
          <w:color w:val="000000" w:themeColor="text1"/>
          <w:sz w:val="24"/>
          <w:szCs w:val="24"/>
          <w14:textFill>
            <w14:solidFill>
              <w14:schemeClr w14:val="tx1"/>
            </w14:solidFill>
          </w14:textFill>
        </w:rPr>
        <w:t xml:space="preserve"> (doze) meses, contado da expedição da </w:t>
      </w:r>
      <w:r>
        <w:rPr>
          <w:color w:val="000000" w:themeColor="text1"/>
          <w:sz w:val="24"/>
          <w:szCs w:val="24"/>
          <w14:textFill>
            <w14:solidFill>
              <w14:schemeClr w14:val="tx1"/>
            </w14:solidFill>
          </w14:textFill>
        </w:rPr>
        <w:t>Autorização de Fornecimento</w:t>
      </w:r>
      <w:r>
        <w:rPr>
          <w:rFonts w:eastAsia="Arial"/>
          <w:color w:val="000000" w:themeColor="text1"/>
          <w:sz w:val="24"/>
          <w:szCs w:val="24"/>
          <w14:textFill>
            <w14:solidFill>
              <w14:schemeClr w14:val="tx1"/>
            </w14:solidFill>
          </w14:textFill>
        </w:rPr>
        <w:t>, desde que previamente divulgado no Portal Nacional de Contratações Públicas.</w:t>
      </w:r>
      <w:r>
        <w:rPr>
          <w:bCs/>
          <w:color w:val="000000" w:themeColor="text1"/>
          <w:sz w:val="24"/>
          <w:szCs w:val="24"/>
          <w14:textFill>
            <w14:solidFill>
              <w14:schemeClr w14:val="tx1"/>
            </w14:solidFill>
          </w14:textFill>
        </w:rPr>
        <w:t xml:space="preserve"> </w:t>
      </w:r>
    </w:p>
    <w:p w14:paraId="17C55E24">
      <w:pPr>
        <w:spacing w:line="288" w:lineRule="auto"/>
        <w:ind w:left="567" w:right="565"/>
        <w:contextualSpacing/>
        <w:jc w:val="both"/>
        <w:rPr>
          <w:color w:val="000000" w:themeColor="text1"/>
          <w:sz w:val="24"/>
          <w:szCs w:val="24"/>
          <w14:textFill>
            <w14:solidFill>
              <w14:schemeClr w14:val="tx1"/>
            </w14:solidFill>
          </w14:textFill>
        </w:rPr>
      </w:pPr>
    </w:p>
    <w:p w14:paraId="09B94F44">
      <w:pPr>
        <w:spacing w:line="288" w:lineRule="auto"/>
        <w:ind w:right="565"/>
        <w:contextualSpacing/>
        <w:jc w:val="both"/>
        <w:rPr>
          <w:rFonts w:eastAsia="Arial"/>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2.2 O prazo de vigência do Contrato poderá</w:t>
      </w:r>
      <w:r>
        <w:rPr>
          <w:rFonts w:eastAsia="Arial"/>
          <w:color w:val="000000" w:themeColor="text1"/>
          <w:sz w:val="24"/>
          <w:szCs w:val="24"/>
          <w14:textFill>
            <w14:solidFill>
              <w14:schemeClr w14:val="tx1"/>
            </w14:solidFill>
          </w14:textFill>
        </w:rPr>
        <w:t xml:space="preserve"> ser prorrogado, sucessivamente, até o máximo de 10 (dez) anos, na forma dos artigos 106 e 107 da </w:t>
      </w:r>
      <w:r>
        <w:fldChar w:fldCharType="begin"/>
      </w:r>
      <w:r>
        <w:instrText xml:space="preserve"> HYPERLINK "http://www.planalto.gov.br/ccivil_03/_ato2019-2022/2021/lei/L14133.htm" </w:instrText>
      </w:r>
      <w:r>
        <w:fldChar w:fldCharType="separate"/>
      </w:r>
      <w:r>
        <w:rPr>
          <w:rStyle w:val="14"/>
          <w:rFonts w:eastAsia="Arial"/>
          <w:color w:val="000000" w:themeColor="text1"/>
          <w:sz w:val="24"/>
          <w:szCs w:val="24"/>
          <w14:textFill>
            <w14:solidFill>
              <w14:schemeClr w14:val="tx1"/>
            </w14:solidFill>
          </w14:textFill>
        </w:rPr>
        <w:t>Lei nº 14.133/2021</w:t>
      </w:r>
      <w:r>
        <w:rPr>
          <w:rStyle w:val="14"/>
          <w:rFonts w:eastAsia="Arial"/>
          <w:color w:val="000000" w:themeColor="text1"/>
          <w:sz w:val="24"/>
          <w:szCs w:val="24"/>
          <w14:textFill>
            <w14:solidFill>
              <w14:schemeClr w14:val="tx1"/>
            </w14:solidFill>
          </w14:textFill>
        </w:rPr>
        <w:fldChar w:fldCharType="end"/>
      </w:r>
      <w:r>
        <w:rPr>
          <w:rFonts w:eastAsia="Arial"/>
          <w:color w:val="000000" w:themeColor="text1"/>
          <w:sz w:val="24"/>
          <w:szCs w:val="24"/>
          <w14:textFill>
            <w14:solidFill>
              <w14:schemeClr w14:val="tx1"/>
            </w14:solidFill>
          </w14:textFill>
        </w:rPr>
        <w:t>.</w:t>
      </w:r>
    </w:p>
    <w:p w14:paraId="2522A26C">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2.2.1 A prorrogação de que trata este item é condicionada ao ateste, pela autoridade competente, de que as condições e os preços permanecem vantajosos para a Administração, permitida a negociação com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desde que observados, ainda, os seguintes requisitos:</w:t>
      </w:r>
    </w:p>
    <w:p w14:paraId="3CBDBDFC">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a) demonstração formal, no processo, de que a forma do fornecimento tem natureza continuada;</w:t>
      </w:r>
    </w:p>
    <w:p w14:paraId="562E4197">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b) juntada de relatório sobre a execução do Contrato, com informações de que o fornecimento tenha sido realizado regularmente;  </w:t>
      </w:r>
    </w:p>
    <w:p w14:paraId="47971DEA">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c) juntada de justificativa de que a Administração mantém interesse na continuidade do fornecimento;  </w:t>
      </w:r>
    </w:p>
    <w:p w14:paraId="0B636E9B">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d) manifestação expressa do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informando o interesse na prorrogação; </w:t>
      </w:r>
    </w:p>
    <w:p w14:paraId="0096E690">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e) comprovação de que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mantém as condições de habilitação; e</w:t>
      </w:r>
    </w:p>
    <w:p w14:paraId="3817C2E8">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f) informação quanto à existência de disponibilidade orçamentário-financeira para as despesas vindouras.</w:t>
      </w:r>
    </w:p>
    <w:p w14:paraId="029D18A6">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2.3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não tem direito subjetivo à prorrogação do prazo de vigência contratual.</w:t>
      </w:r>
    </w:p>
    <w:p w14:paraId="5FC7597E">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2.4 A prorrogação do Contrato deverá ser promovida mediante a celebração de termo aditivo.</w:t>
      </w:r>
    </w:p>
    <w:p w14:paraId="7DC111A9">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 2.5 O Contrato não poderá ser prorrogado quando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tiver sido penalizado com as sanções de declaração de inidoneidade ou impedimento de licitar e contratar com o Poder Público, observadas as abrangências de aplicação.</w:t>
      </w:r>
    </w:p>
    <w:p w14:paraId="72CF7DE6">
      <w:pPr>
        <w:pStyle w:val="92"/>
        <w:numPr>
          <w:ilvl w:val="0"/>
          <w:numId w:val="0"/>
        </w:numPr>
        <w:spacing w:before="0" w:after="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1D1DC3FD">
      <w:pPr>
        <w:pStyle w:val="92"/>
        <w:numPr>
          <w:ilvl w:val="0"/>
          <w:numId w:val="0"/>
        </w:numPr>
        <w:spacing w:before="0" w:after="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19F475E3">
      <w:pPr>
        <w:pStyle w:val="85"/>
        <w:tabs>
          <w:tab w:val="left" w:pos="32"/>
          <w:tab w:val="clear" w:pos="567"/>
        </w:tabs>
        <w:spacing w:before="288" w:beforeLines="120" w:after="288" w:afterLines="120" w:line="288" w:lineRule="auto"/>
        <w:ind w:left="34" w:firstLine="0"/>
        <w:contextualSpacing/>
        <w:rPr>
          <w:rFonts w:ascii="Times New Roman" w:hAnsi="Times New Roman" w:cs="Times New Roman"/>
          <w:sz w:val="24"/>
          <w:szCs w:val="24"/>
        </w:rPr>
      </w:pPr>
      <w:r>
        <w:rPr>
          <w:rFonts w:ascii="Times New Roman" w:hAnsi="Times New Roman" w:cs="Times New Roman"/>
          <w:sz w:val="24"/>
          <w:szCs w:val="24"/>
        </w:rPr>
        <w:t>CLÁUSULA TERCEIRA – EXECUÇÃO, GESTÃO E FISCALIZAÇÃO CONTRATUAIS</w:t>
      </w:r>
    </w:p>
    <w:p w14:paraId="525B490D">
      <w:pPr>
        <w:pStyle w:val="85"/>
        <w:tabs>
          <w:tab w:val="left" w:pos="32"/>
          <w:tab w:val="clear" w:pos="567"/>
        </w:tabs>
        <w:spacing w:before="288" w:beforeLines="120" w:after="288" w:afterLines="120" w:line="288" w:lineRule="auto"/>
        <w:ind w:left="34" w:firstLine="0"/>
        <w:contextualSpacing/>
        <w:rPr>
          <w:rFonts w:ascii="Times New Roman" w:hAnsi="Times New Roman" w:cs="Times New Roman"/>
          <w:b w:val="0"/>
          <w:bCs w:val="0"/>
          <w:sz w:val="24"/>
          <w:szCs w:val="24"/>
        </w:rPr>
      </w:pPr>
    </w:p>
    <w:p w14:paraId="130E4B6C">
      <w:pPr>
        <w:pStyle w:val="85"/>
        <w:tabs>
          <w:tab w:val="left" w:pos="32"/>
          <w:tab w:val="clear" w:pos="567"/>
        </w:tabs>
        <w:spacing w:before="288" w:beforeLines="120" w:after="288" w:afterLines="120" w:line="288" w:lineRule="auto"/>
        <w:ind w:left="34"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3.1 O regime de execução contratual, o modelo de gestão e a fiscalização, assim como os prazos e condições de conclusão, entrega, observação e recebimento se submetem ao disposto no Termo de Referência anexo a este Contrato e no Decreto nº 40, 25 de fevereiro de 2025.</w:t>
      </w:r>
    </w:p>
    <w:p w14:paraId="26701D97">
      <w:pPr>
        <w:pStyle w:val="85"/>
        <w:spacing w:before="0" w:line="288" w:lineRule="auto"/>
        <w:ind w:left="0" w:firstLine="0"/>
        <w:contextualSpacing/>
        <w:rPr>
          <w:rFonts w:ascii="Times New Roman" w:hAnsi="Times New Roman" w:cs="Times New Roman"/>
          <w:sz w:val="24"/>
          <w:szCs w:val="24"/>
        </w:rPr>
      </w:pPr>
    </w:p>
    <w:p w14:paraId="362BFBE7">
      <w:pPr>
        <w:pStyle w:val="85"/>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QUARTA – SUBCONTRATAÇÃO</w:t>
      </w:r>
    </w:p>
    <w:p w14:paraId="506BA2C9">
      <w:pPr>
        <w:pStyle w:val="91"/>
        <w:numPr>
          <w:ilvl w:val="0"/>
          <w:numId w:val="0"/>
        </w:numPr>
        <w:spacing w:before="0" w:after="0" w:line="288" w:lineRule="auto"/>
        <w:contextualSpacing/>
        <w:rPr>
          <w:rFonts w:ascii="Times New Roman" w:hAnsi="Times New Roman" w:cs="Times New Roman"/>
          <w:i w:val="0"/>
          <w:iCs w:val="0"/>
          <w:color w:val="auto"/>
          <w:sz w:val="24"/>
          <w:szCs w:val="24"/>
        </w:rPr>
      </w:pPr>
    </w:p>
    <w:p w14:paraId="4C50D901">
      <w:pPr>
        <w:pStyle w:val="83"/>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 Não será admitida a subcontratação do objeto contratual.</w:t>
      </w:r>
    </w:p>
    <w:p w14:paraId="54A1C8FD">
      <w:pPr>
        <w:pStyle w:val="95"/>
        <w:spacing w:before="0" w:after="0" w:line="288" w:lineRule="auto"/>
        <w:contextualSpacing/>
        <w:jc w:val="both"/>
        <w:rPr>
          <w:rFonts w:ascii="Times New Roman" w:hAnsi="Times New Roman" w:cs="Times New Roman"/>
          <w:lang w:eastAsia="zh-CN" w:bidi="hi-IN"/>
        </w:rPr>
      </w:pPr>
    </w:p>
    <w:p w14:paraId="5DA872A4">
      <w:pPr>
        <w:pStyle w:val="85"/>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QUINTA – PREÇO</w:t>
      </w:r>
    </w:p>
    <w:p w14:paraId="2242EA87">
      <w:pPr>
        <w:pStyle w:val="95"/>
        <w:spacing w:before="0" w:after="0" w:line="288" w:lineRule="auto"/>
        <w:contextualSpacing/>
        <w:jc w:val="both"/>
        <w:rPr>
          <w:rFonts w:ascii="Times New Roman" w:hAnsi="Times New Roman" w:cs="Times New Roman"/>
          <w:b w:val="0"/>
          <w:bCs w:val="0"/>
          <w:i w:val="0"/>
          <w:iCs w:val="0"/>
          <w:u w:val="none"/>
        </w:rPr>
      </w:pPr>
    </w:p>
    <w:p w14:paraId="7C2BF490">
      <w:pPr>
        <w:pStyle w:val="91"/>
        <w:numPr>
          <w:ilvl w:val="0"/>
          <w:numId w:val="0"/>
        </w:numPr>
        <w:spacing w:before="0" w:after="0" w:line="288" w:lineRule="auto"/>
        <w:contextualSpacing/>
        <w:rPr>
          <w:rFonts w:ascii="Times New Roman" w:hAnsi="Times New Roman" w:cs="Times New Roman"/>
          <w:i w:val="0"/>
          <w:iCs w:val="0"/>
          <w:color w:val="auto"/>
          <w:sz w:val="24"/>
          <w:szCs w:val="24"/>
          <w:lang w:eastAsia="en-US"/>
        </w:rPr>
      </w:pPr>
      <w:r>
        <w:rPr>
          <w:rFonts w:ascii="Times New Roman" w:hAnsi="Times New Roman" w:cs="Times New Roman"/>
          <w:i w:val="0"/>
          <w:iCs w:val="0"/>
          <w:color w:val="auto"/>
          <w:sz w:val="24"/>
          <w:szCs w:val="24"/>
        </w:rPr>
        <w:t xml:space="preserve">5.1 O valor total máximo do Contrato é de R$ </w:t>
      </w:r>
      <w:r>
        <w:rPr>
          <w:rFonts w:ascii="Times New Roman" w:hAnsi="Times New Roman" w:cs="Times New Roman"/>
          <w:i w:val="0"/>
          <w:iCs w:val="0"/>
          <w:sz w:val="24"/>
          <w:szCs w:val="24"/>
          <w:lang w:eastAsia="en-US"/>
        </w:rPr>
        <w:t xml:space="preserve">......... </w:t>
      </w:r>
      <w:r>
        <w:rPr>
          <w:rFonts w:ascii="Times New Roman" w:hAnsi="Times New Roman" w:cs="Times New Roman"/>
          <w:i w:val="0"/>
          <w:iCs w:val="0"/>
          <w:color w:val="auto"/>
          <w:sz w:val="24"/>
          <w:szCs w:val="24"/>
          <w:lang w:eastAsia="en-US"/>
        </w:rPr>
        <w:t>(</w:t>
      </w:r>
      <w:r>
        <w:rPr>
          <w:rFonts w:ascii="Times New Roman" w:hAnsi="Times New Roman" w:cs="Times New Roman"/>
          <w:iCs w:val="0"/>
          <w:sz w:val="24"/>
          <w:szCs w:val="24"/>
        </w:rPr>
        <w:t>.....</w:t>
      </w:r>
      <w:r>
        <w:rPr>
          <w:rFonts w:ascii="Times New Roman" w:hAnsi="Times New Roman" w:cs="Times New Roman"/>
          <w:i w:val="0"/>
          <w:iCs w:val="0"/>
          <w:color w:val="auto"/>
          <w:sz w:val="24"/>
          <w:szCs w:val="24"/>
          <w:lang w:eastAsia="en-US"/>
        </w:rPr>
        <w:t>).</w:t>
      </w:r>
    </w:p>
    <w:p w14:paraId="3D522901">
      <w:pPr>
        <w:pStyle w:val="91"/>
        <w:numPr>
          <w:ilvl w:val="0"/>
          <w:numId w:val="0"/>
        </w:numPr>
        <w:spacing w:before="0" w:after="0" w:line="288" w:lineRule="auto"/>
        <w:contextualSpacing/>
        <w:rPr>
          <w:rFonts w:ascii="Times New Roman" w:hAnsi="Times New Roman" w:cs="Times New Roman"/>
          <w:i w:val="0"/>
          <w:iCs w:val="0"/>
          <w:color w:val="auto"/>
          <w:sz w:val="24"/>
          <w:szCs w:val="24"/>
          <w:lang w:eastAsia="en-US"/>
        </w:rPr>
      </w:pPr>
    </w:p>
    <w:p w14:paraId="13FBEC66">
      <w:pPr>
        <w:pStyle w:val="91"/>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5.2 No valor acima estão incluídas todas as despesas ordinárias diretas e indiretas decorrentes da execução do objeto, inclusive tributos, encargos sociais, trabalhistas, previdenciários, fiscais e comerciais incidentes, taxa de administração, frete, seguro e outros necessários ao cumprimento integral do objeto da contratação.</w:t>
      </w:r>
    </w:p>
    <w:p w14:paraId="42A8C126">
      <w:pPr>
        <w:pStyle w:val="91"/>
        <w:numPr>
          <w:ilvl w:val="0"/>
          <w:numId w:val="0"/>
        </w:numPr>
        <w:spacing w:before="0" w:after="0" w:line="288" w:lineRule="auto"/>
        <w:contextualSpacing/>
        <w:rPr>
          <w:rFonts w:ascii="Times New Roman" w:hAnsi="Times New Roman" w:cs="Times New Roman"/>
          <w:i w:val="0"/>
          <w:iCs w:val="0"/>
          <w:sz w:val="24"/>
          <w:szCs w:val="24"/>
        </w:rPr>
      </w:pPr>
    </w:p>
    <w:p w14:paraId="5F069C34">
      <w:pPr>
        <w:pStyle w:val="91"/>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5.3 Os pagamentos devidos ao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 xml:space="preserve"> dependerão dos quantitativos efetivamente fornecidos.</w:t>
      </w:r>
    </w:p>
    <w:p w14:paraId="1BA36915">
      <w:pPr>
        <w:pStyle w:val="91"/>
        <w:numPr>
          <w:ilvl w:val="0"/>
          <w:numId w:val="0"/>
        </w:numPr>
        <w:spacing w:before="0" w:after="0" w:line="288" w:lineRule="auto"/>
        <w:contextualSpacing/>
        <w:rPr>
          <w:rFonts w:ascii="Times New Roman" w:hAnsi="Times New Roman" w:cs="Times New Roman"/>
          <w:i w:val="0"/>
          <w:iCs w:val="0"/>
          <w:color w:val="auto"/>
          <w:sz w:val="24"/>
          <w:szCs w:val="24"/>
          <w:lang w:eastAsia="en-US"/>
        </w:rPr>
      </w:pPr>
    </w:p>
    <w:p w14:paraId="67031D93">
      <w:pPr>
        <w:pStyle w:val="85"/>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SEXTA – PAGAMENTO</w:t>
      </w:r>
    </w:p>
    <w:p w14:paraId="7D926D29">
      <w:pPr>
        <w:spacing w:line="288" w:lineRule="auto"/>
        <w:contextualSpacing/>
        <w:jc w:val="both"/>
        <w:rPr>
          <w:sz w:val="24"/>
          <w:szCs w:val="24"/>
        </w:rPr>
      </w:pPr>
    </w:p>
    <w:p w14:paraId="256E477C">
      <w:pPr>
        <w:pStyle w:val="15"/>
        <w:numPr>
          <w:ilvl w:val="1"/>
          <w:numId w:val="7"/>
        </w:numPr>
        <w:spacing w:line="288" w:lineRule="auto"/>
        <w:contextualSpacing/>
        <w:jc w:val="both"/>
        <w:rPr>
          <w:rFonts w:ascii="Times New Roman" w:hAnsi="Times New Roman" w:cs="Times New Roman"/>
        </w:rPr>
      </w:pPr>
      <w:r>
        <w:rPr>
          <w:rFonts w:ascii="Times New Roman" w:hAnsi="Times New Roman" w:cs="Times New Roman"/>
        </w:rPr>
        <w:t xml:space="preserve">O </w:t>
      </w:r>
      <w:r>
        <w:rPr>
          <w:rFonts w:ascii="Times New Roman" w:hAnsi="Times New Roman" w:cs="Times New Roman"/>
          <w:b/>
        </w:rPr>
        <w:t>CONTRATANTE</w:t>
      </w:r>
      <w:r>
        <w:rPr>
          <w:rFonts w:ascii="Times New Roman" w:hAnsi="Times New Roman" w:cs="Times New Roman"/>
          <w:bCs/>
        </w:rPr>
        <w:t xml:space="preserve"> deverá pagar ao </w:t>
      </w:r>
      <w:r>
        <w:rPr>
          <w:rFonts w:ascii="Times New Roman" w:hAnsi="Times New Roman" w:cs="Times New Roman"/>
          <w:b/>
        </w:rPr>
        <w:t>CONTRATADO</w:t>
      </w:r>
      <w:r>
        <w:rPr>
          <w:rFonts w:ascii="Times New Roman" w:hAnsi="Times New Roman" w:cs="Times New Roman"/>
        </w:rPr>
        <w:t xml:space="preserve"> o valor total de R$ </w:t>
      </w:r>
      <w:r>
        <w:rPr>
          <w:rFonts w:ascii="Times New Roman" w:hAnsi="Times New Roman" w:cs="Times New Roman"/>
          <w:color w:val="FF0000"/>
        </w:rPr>
        <w:t xml:space="preserve">xxx </w:t>
      </w:r>
      <w:r>
        <w:rPr>
          <w:rFonts w:ascii="Times New Roman" w:hAnsi="Times New Roman" w:cs="Times New Roman"/>
        </w:rPr>
        <w:t>(</w:t>
      </w:r>
      <w:r>
        <w:rPr>
          <w:rFonts w:ascii="Times New Roman" w:hAnsi="Times New Roman" w:cs="Times New Roman"/>
          <w:iCs/>
          <w:color w:val="FF0000"/>
        </w:rPr>
        <w:t>xx</w:t>
      </w:r>
      <w:r>
        <w:rPr>
          <w:rFonts w:ascii="Times New Roman" w:hAnsi="Times New Roman" w:cs="Times New Roman"/>
        </w:rPr>
        <w:t xml:space="preserve">), em </w:t>
      </w:r>
      <w:r>
        <w:rPr>
          <w:rFonts w:ascii="Times New Roman" w:hAnsi="Times New Roman" w:cs="Times New Roman"/>
          <w:color w:val="FF0000"/>
        </w:rPr>
        <w:t xml:space="preserve">...... </w:t>
      </w:r>
      <w:r>
        <w:rPr>
          <w:rFonts w:ascii="Times New Roman" w:hAnsi="Times New Roman" w:cs="Times New Roman"/>
        </w:rPr>
        <w:t>(</w:t>
      </w:r>
      <w:r>
        <w:rPr>
          <w:rFonts w:ascii="Times New Roman" w:hAnsi="Times New Roman" w:cs="Times New Roman"/>
          <w:iCs/>
          <w:color w:val="FF0000"/>
        </w:rPr>
        <w:t>.....</w:t>
      </w:r>
      <w:r>
        <w:rPr>
          <w:rFonts w:ascii="Times New Roman" w:hAnsi="Times New Roman" w:cs="Times New Roman"/>
        </w:rPr>
        <w:t>)</w:t>
      </w:r>
      <w:r>
        <w:rPr>
          <w:rFonts w:ascii="Times New Roman" w:hAnsi="Times New Roman" w:cs="Times New Roman"/>
          <w:color w:val="FF0000"/>
        </w:rPr>
        <w:t xml:space="preserve"> </w:t>
      </w:r>
      <w:r>
        <w:rPr>
          <w:rFonts w:ascii="Times New Roman" w:hAnsi="Times New Roman" w:cs="Times New Roman"/>
        </w:rPr>
        <w:t xml:space="preserve">parcelas, no valor de R$ </w:t>
      </w:r>
      <w:r>
        <w:rPr>
          <w:rFonts w:ascii="Times New Roman" w:hAnsi="Times New Roman" w:cs="Times New Roman"/>
          <w:color w:val="FF0000"/>
        </w:rPr>
        <w:t xml:space="preserve">........ </w:t>
      </w:r>
      <w:r>
        <w:rPr>
          <w:rFonts w:ascii="Times New Roman" w:hAnsi="Times New Roman" w:cs="Times New Roman"/>
        </w:rPr>
        <w:t>(</w:t>
      </w:r>
      <w:r>
        <w:rPr>
          <w:rFonts w:ascii="Times New Roman" w:hAnsi="Times New Roman" w:cs="Times New Roman"/>
          <w:iCs/>
          <w:color w:val="FF0000"/>
        </w:rPr>
        <w:t>.....</w:t>
      </w:r>
      <w:r>
        <w:rPr>
          <w:rFonts w:ascii="Times New Roman" w:hAnsi="Times New Roman" w:cs="Times New Roman"/>
        </w:rPr>
        <w:t xml:space="preserve">), cada uma delas, conforme cronograma de pagamento em anexo, diretamente na conta corrente nº </w:t>
      </w:r>
      <w:r>
        <w:rPr>
          <w:rFonts w:ascii="Times New Roman" w:hAnsi="Times New Roman" w:cs="Times New Roman"/>
          <w:color w:val="FF0000"/>
        </w:rPr>
        <w:t>......</w:t>
      </w:r>
      <w:r>
        <w:rPr>
          <w:rFonts w:ascii="Times New Roman" w:hAnsi="Times New Roman" w:cs="Times New Roman"/>
        </w:rPr>
        <w:t xml:space="preserve"> da agência </w:t>
      </w:r>
      <w:r>
        <w:rPr>
          <w:rFonts w:ascii="Times New Roman" w:hAnsi="Times New Roman" w:cs="Times New Roman"/>
          <w:color w:val="FF0000"/>
        </w:rPr>
        <w:t>......</w:t>
      </w:r>
      <w:r>
        <w:rPr>
          <w:rFonts w:ascii="Times New Roman" w:hAnsi="Times New Roman" w:cs="Times New Roman"/>
        </w:rPr>
        <w:t>, de titularidade d</w:t>
      </w:r>
      <w:r>
        <w:rPr>
          <w:rFonts w:ascii="Times New Roman" w:hAnsi="Times New Roman" w:cs="Times New Roman"/>
          <w:bCs/>
        </w:rPr>
        <w:t xml:space="preserve">o </w:t>
      </w:r>
      <w:r>
        <w:rPr>
          <w:rFonts w:ascii="Times New Roman" w:hAnsi="Times New Roman" w:cs="Times New Roman"/>
          <w:b/>
        </w:rPr>
        <w:t>CONTRATADO</w:t>
      </w:r>
      <w:r>
        <w:rPr>
          <w:rFonts w:ascii="Times New Roman" w:hAnsi="Times New Roman" w:cs="Times New Roman"/>
        </w:rPr>
        <w:t xml:space="preserve">, junto à instituição indicada pelo mesmo, observando-se o disposto no item 5.3. deste Contrato. </w:t>
      </w:r>
    </w:p>
    <w:p w14:paraId="78020FA2">
      <w:pPr>
        <w:pStyle w:val="15"/>
        <w:spacing w:line="288" w:lineRule="auto"/>
        <w:ind w:left="360"/>
        <w:contextualSpacing/>
        <w:jc w:val="both"/>
        <w:rPr>
          <w:rFonts w:ascii="Times New Roman" w:hAnsi="Times New Roman" w:cs="Times New Roman"/>
        </w:rPr>
      </w:pPr>
    </w:p>
    <w:p w14:paraId="17A1B241">
      <w:pPr>
        <w:pStyle w:val="15"/>
        <w:spacing w:line="288" w:lineRule="auto"/>
        <w:contextualSpacing/>
        <w:jc w:val="both"/>
        <w:rPr>
          <w:rFonts w:ascii="Times New Roman" w:hAnsi="Times New Roman" w:cs="Times New Roman"/>
        </w:rPr>
      </w:pPr>
      <w:r>
        <w:rPr>
          <w:rFonts w:ascii="Times New Roman" w:hAnsi="Times New Roman" w:cs="Times New Roman"/>
        </w:rPr>
        <w:t xml:space="preserve">6.2 Os pagamentos relativos à aquisição de bens e à contratação de serviços de qualquer natureza realizados pelos órgãos e entidades da Administração Pública Municipal Direta, Autárquica e Fundacional do Poder Executivo serão efetuados exclusivamente, por meio da Instituição financeira contratada pelo município atualmente </w:t>
      </w:r>
      <w:r>
        <w:rPr>
          <w:rFonts w:ascii="Times New Roman" w:hAnsi="Times New Roman" w:cs="Times New Roman"/>
          <w:b/>
        </w:rPr>
        <w:t>Banco Itaú S.A</w:t>
      </w:r>
      <w:r>
        <w:rPr>
          <w:rFonts w:ascii="Times New Roman" w:hAnsi="Times New Roman" w:cs="Times New Roman"/>
        </w:rPr>
        <w:t>, cujo número e agência deverão ser informados pelo adjudicatário.</w:t>
      </w:r>
    </w:p>
    <w:p w14:paraId="4D35DF5D">
      <w:pPr>
        <w:spacing w:line="288" w:lineRule="auto"/>
        <w:contextualSpacing/>
        <w:jc w:val="both"/>
        <w:rPr>
          <w:sz w:val="24"/>
          <w:szCs w:val="24"/>
        </w:rPr>
      </w:pPr>
    </w:p>
    <w:p w14:paraId="26C6D6AB">
      <w:pPr>
        <w:spacing w:line="288" w:lineRule="auto"/>
        <w:contextualSpacing/>
        <w:jc w:val="both"/>
        <w:rPr>
          <w:rFonts w:eastAsia="Arial"/>
          <w:sz w:val="24"/>
          <w:szCs w:val="24"/>
        </w:rPr>
      </w:pPr>
      <w:r>
        <w:rPr>
          <w:sz w:val="24"/>
          <w:szCs w:val="24"/>
        </w:rPr>
        <w:t xml:space="preserve">6.3 </w:t>
      </w:r>
      <w:r>
        <w:rPr>
          <w:rFonts w:eastAsia="Arial"/>
          <w:sz w:val="24"/>
          <w:szCs w:val="24"/>
        </w:rPr>
        <w:t xml:space="preserve"> A emissão da Nota Fiscal ou Fatura será precedida do recebimento definitivo do objeto ou de cada parcela, mediante atestação, que não poderá ser realizada pelo ordenador de despesas, conforme disposto neste instrumento e/ou no Termo de Referência, bem ainda no artigo 140, II, alínea b, da Lei nº 14.133/2021 e nos arts. 20 e 22, XXIII, do Decreto nº 40/2025.</w:t>
      </w:r>
    </w:p>
    <w:p w14:paraId="6AC5EDAC">
      <w:pPr>
        <w:spacing w:line="288" w:lineRule="auto"/>
        <w:contextualSpacing/>
        <w:jc w:val="both"/>
        <w:rPr>
          <w:rFonts w:eastAsia="Arial"/>
          <w:sz w:val="24"/>
          <w:szCs w:val="24"/>
        </w:rPr>
      </w:pPr>
    </w:p>
    <w:p w14:paraId="2DDC5826">
      <w:pPr>
        <w:spacing w:line="288" w:lineRule="auto"/>
        <w:contextualSpacing/>
        <w:jc w:val="both"/>
        <w:rPr>
          <w:sz w:val="24"/>
          <w:szCs w:val="24"/>
        </w:rPr>
      </w:pPr>
      <w:r>
        <w:rPr>
          <w:rFonts w:eastAsia="Arial"/>
          <w:sz w:val="24"/>
          <w:szCs w:val="24"/>
        </w:rPr>
        <w:t xml:space="preserve">6.4 </w:t>
      </w:r>
      <w:r>
        <w:rPr>
          <w:sz w:val="24"/>
          <w:szCs w:val="24"/>
        </w:rPr>
        <w:t xml:space="preserve">Os pagamentos relativos à aquisição de bens e à contratação de serviços de qualquer natureza realizados pelos órgãos e entidades da Administração Pública Municipal Direta, Autárquica e Fundacional do Poder Executivo serão efetuados exclusivamente, por meio da Instituição financeira contratada pelo município atualmente </w:t>
      </w:r>
      <w:r>
        <w:rPr>
          <w:b/>
          <w:sz w:val="24"/>
          <w:szCs w:val="24"/>
        </w:rPr>
        <w:t>Banco Itaú S.A</w:t>
      </w:r>
      <w:r>
        <w:rPr>
          <w:sz w:val="24"/>
          <w:szCs w:val="24"/>
        </w:rPr>
        <w:t>, cujo número e agência deverão ser informados pelo adjudicatário.</w:t>
      </w:r>
    </w:p>
    <w:p w14:paraId="35261678">
      <w:pPr>
        <w:spacing w:line="288" w:lineRule="auto"/>
        <w:contextualSpacing/>
        <w:jc w:val="both"/>
        <w:rPr>
          <w:sz w:val="24"/>
          <w:szCs w:val="24"/>
        </w:rPr>
      </w:pPr>
    </w:p>
    <w:p w14:paraId="1138C3DA">
      <w:pPr>
        <w:spacing w:line="288" w:lineRule="auto"/>
        <w:contextualSpacing/>
        <w:jc w:val="both"/>
        <w:rPr>
          <w:rFonts w:eastAsia="Arial"/>
          <w:sz w:val="24"/>
          <w:szCs w:val="24"/>
        </w:rPr>
      </w:pPr>
      <w:r>
        <w:rPr>
          <w:rFonts w:eastAsia="Arial"/>
          <w:sz w:val="24"/>
          <w:szCs w:val="24"/>
        </w:rPr>
        <w:t xml:space="preserve">6.5 Quando houver glosa parcial do objeto, o </w:t>
      </w:r>
      <w:r>
        <w:rPr>
          <w:rFonts w:eastAsia="Arial"/>
          <w:b/>
          <w:bCs/>
          <w:sz w:val="24"/>
          <w:szCs w:val="24"/>
        </w:rPr>
        <w:t>CONTRATANTE</w:t>
      </w:r>
      <w:r>
        <w:rPr>
          <w:rFonts w:eastAsia="Arial"/>
          <w:sz w:val="24"/>
          <w:szCs w:val="24"/>
        </w:rPr>
        <w:t xml:space="preserve"> deverá comunicar ao </w:t>
      </w:r>
      <w:r>
        <w:rPr>
          <w:rFonts w:eastAsia="Arial"/>
          <w:b/>
          <w:bCs/>
          <w:sz w:val="24"/>
          <w:szCs w:val="24"/>
        </w:rPr>
        <w:t>CONTRATADO</w:t>
      </w:r>
      <w:r>
        <w:rPr>
          <w:rFonts w:eastAsia="Arial"/>
          <w:sz w:val="24"/>
          <w:szCs w:val="24"/>
        </w:rPr>
        <w:t xml:space="preserve"> para que emita Nota Fiscal ou Fatura com o valor exato dimensionado.</w:t>
      </w:r>
    </w:p>
    <w:p w14:paraId="49BE35E5">
      <w:pPr>
        <w:spacing w:line="288" w:lineRule="auto"/>
        <w:contextualSpacing/>
        <w:jc w:val="both"/>
        <w:rPr>
          <w:sz w:val="24"/>
          <w:szCs w:val="24"/>
        </w:rPr>
      </w:pPr>
    </w:p>
    <w:p w14:paraId="212678C5">
      <w:pPr>
        <w:spacing w:line="288" w:lineRule="auto"/>
        <w:contextualSpacing/>
        <w:jc w:val="both"/>
        <w:rPr>
          <w:rFonts w:eastAsia="Arial"/>
          <w:sz w:val="24"/>
          <w:szCs w:val="24"/>
        </w:rPr>
      </w:pPr>
      <w:r>
        <w:rPr>
          <w:sz w:val="24"/>
          <w:szCs w:val="24"/>
        </w:rPr>
        <w:t xml:space="preserve">6.6 O </w:t>
      </w:r>
      <w:r>
        <w:rPr>
          <w:b/>
          <w:bCs/>
          <w:sz w:val="24"/>
          <w:szCs w:val="24"/>
        </w:rPr>
        <w:t>CONTRATADO</w:t>
      </w:r>
      <w:r>
        <w:rPr>
          <w:sz w:val="24"/>
          <w:szCs w:val="24"/>
        </w:rPr>
        <w:t xml:space="preserve"> deverá encaminhar a Nota Fiscal ou Fatura para pagamento à </w:t>
      </w:r>
      <w:r>
        <w:rPr>
          <w:color w:val="FF0000"/>
          <w:sz w:val="24"/>
          <w:szCs w:val="24"/>
        </w:rPr>
        <w:t>......</w:t>
      </w:r>
      <w:r>
        <w:rPr>
          <w:rFonts w:eastAsia="Arial"/>
          <w:sz w:val="24"/>
          <w:szCs w:val="24"/>
        </w:rPr>
        <w:t xml:space="preserve">, situada </w:t>
      </w:r>
      <w:r>
        <w:rPr>
          <w:rFonts w:eastAsia="Arial"/>
          <w:color w:val="FF0000"/>
          <w:sz w:val="24"/>
          <w:szCs w:val="24"/>
        </w:rPr>
        <w:t xml:space="preserve">na </w:t>
      </w:r>
      <w:r>
        <w:rPr>
          <w:color w:val="FF0000"/>
          <w:sz w:val="24"/>
          <w:szCs w:val="24"/>
        </w:rPr>
        <w:t>......</w:t>
      </w:r>
      <w:r>
        <w:rPr>
          <w:rFonts w:eastAsia="Arial"/>
          <w:sz w:val="24"/>
          <w:szCs w:val="24"/>
        </w:rPr>
        <w:t xml:space="preserve">, na cidade </w:t>
      </w:r>
      <w:r>
        <w:rPr>
          <w:rFonts w:eastAsia="Arial"/>
          <w:color w:val="FF0000"/>
          <w:sz w:val="24"/>
          <w:szCs w:val="24"/>
        </w:rPr>
        <w:t xml:space="preserve">do </w:t>
      </w:r>
      <w:r>
        <w:rPr>
          <w:color w:val="FF0000"/>
          <w:sz w:val="24"/>
          <w:szCs w:val="24"/>
        </w:rPr>
        <w:t>......</w:t>
      </w:r>
      <w:r>
        <w:rPr>
          <w:rFonts w:eastAsia="Arial"/>
          <w:sz w:val="24"/>
          <w:szCs w:val="24"/>
        </w:rPr>
        <w:t xml:space="preserve">, no Estado do Rio de Janeiro ou para o endereço eletrônico </w:t>
      </w:r>
      <w:r>
        <w:rPr>
          <w:color w:val="FF0000"/>
          <w:sz w:val="24"/>
          <w:szCs w:val="24"/>
        </w:rPr>
        <w:t>......</w:t>
      </w:r>
      <w:r>
        <w:rPr>
          <w:rFonts w:eastAsia="Arial"/>
          <w:sz w:val="24"/>
          <w:szCs w:val="24"/>
        </w:rPr>
        <w:t>.</w:t>
      </w:r>
    </w:p>
    <w:p w14:paraId="5BF3EA97">
      <w:pPr>
        <w:spacing w:line="288" w:lineRule="auto"/>
        <w:contextualSpacing/>
        <w:jc w:val="both"/>
        <w:rPr>
          <w:rFonts w:eastAsia="Arial"/>
          <w:sz w:val="24"/>
          <w:szCs w:val="24"/>
        </w:rPr>
      </w:pPr>
    </w:p>
    <w:p w14:paraId="377B9892">
      <w:pPr>
        <w:spacing w:line="288" w:lineRule="auto"/>
        <w:contextualSpacing/>
        <w:jc w:val="both"/>
        <w:rPr>
          <w:rFonts w:eastAsia="Arial"/>
          <w:sz w:val="24"/>
          <w:szCs w:val="24"/>
        </w:rPr>
      </w:pPr>
      <w:r>
        <w:rPr>
          <w:rFonts w:eastAsia="Arial"/>
          <w:sz w:val="24"/>
          <w:szCs w:val="24"/>
        </w:rPr>
        <w:t>6.7  Recebida a Nota Fiscal ou Fatura, o órgão competente deverá realizar consulta ao SICAF para verificar:</w:t>
      </w:r>
    </w:p>
    <w:p w14:paraId="1B98DA3B">
      <w:pPr>
        <w:spacing w:line="288" w:lineRule="auto"/>
        <w:contextualSpacing/>
        <w:jc w:val="both"/>
        <w:rPr>
          <w:sz w:val="24"/>
          <w:szCs w:val="24"/>
        </w:rPr>
      </w:pPr>
      <w:r>
        <w:rPr>
          <w:sz w:val="24"/>
          <w:szCs w:val="24"/>
        </w:rPr>
        <w:t xml:space="preserve">a) a manutenção das condições de habilitação exigidas pelo instrumento convocatório; </w:t>
      </w:r>
    </w:p>
    <w:p w14:paraId="51F8BDF5">
      <w:pPr>
        <w:spacing w:line="288" w:lineRule="auto"/>
        <w:contextualSpacing/>
        <w:jc w:val="both"/>
        <w:rPr>
          <w:sz w:val="24"/>
          <w:szCs w:val="24"/>
        </w:rPr>
      </w:pPr>
      <w:r>
        <w:rPr>
          <w:sz w:val="24"/>
          <w:szCs w:val="24"/>
        </w:rPr>
        <w:t xml:space="preserve">b) se o </w:t>
      </w:r>
      <w:r>
        <w:rPr>
          <w:b/>
          <w:bCs/>
          <w:sz w:val="24"/>
          <w:szCs w:val="24"/>
        </w:rPr>
        <w:t>CONTRATADO</w:t>
      </w:r>
      <w:r>
        <w:rPr>
          <w:sz w:val="24"/>
          <w:szCs w:val="24"/>
        </w:rPr>
        <w:t xml:space="preserve"> foi penalizado com as sanções de declaração de inidoneidade ou impedimento de licitar e contratar com o Poder Público, observadas as abrangências de aplicação; e</w:t>
      </w:r>
    </w:p>
    <w:p w14:paraId="4E9C4681">
      <w:pPr>
        <w:spacing w:line="288" w:lineRule="auto"/>
        <w:contextualSpacing/>
        <w:jc w:val="both"/>
        <w:rPr>
          <w:sz w:val="24"/>
          <w:szCs w:val="24"/>
        </w:rPr>
      </w:pPr>
      <w:r>
        <w:rPr>
          <w:sz w:val="24"/>
          <w:szCs w:val="24"/>
        </w:rPr>
        <w:t>c) eventuais ocorrências impeditivas indiretas, hipótese na qual o gestor deverá verificar se houve fraude por parte das empresas apontadas no Relatório de Ocorrências Impeditivas Indiretas;</w:t>
      </w:r>
    </w:p>
    <w:p w14:paraId="5C49AF48">
      <w:pPr>
        <w:spacing w:line="288" w:lineRule="auto"/>
        <w:contextualSpacing/>
        <w:jc w:val="both"/>
        <w:rPr>
          <w:sz w:val="24"/>
          <w:szCs w:val="24"/>
        </w:rPr>
      </w:pPr>
    </w:p>
    <w:p w14:paraId="11D656FE">
      <w:pPr>
        <w:spacing w:line="288" w:lineRule="auto"/>
        <w:contextualSpacing/>
        <w:jc w:val="both"/>
        <w:rPr>
          <w:sz w:val="24"/>
          <w:szCs w:val="24"/>
        </w:rPr>
      </w:pPr>
      <w:r>
        <w:rPr>
          <w:sz w:val="24"/>
          <w:szCs w:val="24"/>
        </w:rPr>
        <w:t xml:space="preserve">6.7.1 Constatando-se a situação de irregularidade do </w:t>
      </w:r>
      <w:r>
        <w:rPr>
          <w:b/>
          <w:bCs/>
          <w:sz w:val="24"/>
          <w:szCs w:val="24"/>
        </w:rPr>
        <w:t>CONTRATADO</w:t>
      </w:r>
      <w:r>
        <w:rPr>
          <w:sz w:val="24"/>
          <w:szCs w:val="24"/>
        </w:rPr>
        <w:t xml:space="preserve">, será providenciada sua notificação, por escrito, para que, no prazo de 15 (quinze) dias úteis, regularize sua situação ou, no mesmo prazo, apresente sua defesa e especifique as provas que pretende produzir. O prazo poderá ser prorrogado uma vez, por igual período, a critério do </w:t>
      </w:r>
      <w:r>
        <w:rPr>
          <w:b/>
          <w:bCs/>
          <w:sz w:val="24"/>
          <w:szCs w:val="24"/>
        </w:rPr>
        <w:t>CONTRATANTE</w:t>
      </w:r>
      <w:r>
        <w:rPr>
          <w:sz w:val="24"/>
          <w:szCs w:val="24"/>
        </w:rPr>
        <w:t>.</w:t>
      </w:r>
    </w:p>
    <w:p w14:paraId="66D40F16">
      <w:pPr>
        <w:spacing w:line="288" w:lineRule="auto"/>
        <w:contextualSpacing/>
        <w:jc w:val="both"/>
        <w:rPr>
          <w:sz w:val="24"/>
          <w:szCs w:val="24"/>
        </w:rPr>
      </w:pPr>
    </w:p>
    <w:p w14:paraId="70539D66">
      <w:pPr>
        <w:spacing w:line="288" w:lineRule="auto"/>
        <w:contextualSpacing/>
        <w:jc w:val="both"/>
        <w:rPr>
          <w:sz w:val="24"/>
          <w:szCs w:val="24"/>
        </w:rPr>
      </w:pPr>
      <w:r>
        <w:rPr>
          <w:sz w:val="24"/>
          <w:szCs w:val="24"/>
        </w:rPr>
        <w:t xml:space="preserve">6.7.2 Não havendo regularização ou sendo a defesa considerada improcedente, o </w:t>
      </w:r>
      <w:r>
        <w:rPr>
          <w:b/>
          <w:bCs/>
          <w:sz w:val="24"/>
          <w:szCs w:val="24"/>
        </w:rPr>
        <w:t>CONTRATANTE</w:t>
      </w:r>
      <w:r>
        <w:rPr>
          <w:sz w:val="24"/>
          <w:szCs w:val="24"/>
        </w:rPr>
        <w:t xml:space="preserve"> deverá comunicar aos órgãos responsáveis pela fiscalização da regularidade fiscal quanto à inadimplência do </w:t>
      </w:r>
      <w:r>
        <w:rPr>
          <w:b/>
          <w:bCs/>
          <w:sz w:val="24"/>
          <w:szCs w:val="24"/>
        </w:rPr>
        <w:t>CONTRATADO</w:t>
      </w:r>
      <w:r>
        <w:rPr>
          <w:sz w:val="24"/>
          <w:szCs w:val="24"/>
        </w:rPr>
        <w:t xml:space="preserve">, bem como quanto à existência de pagamento a ser efetuado, para que sejam acionados os meios pertinentes e necessários para garantir o recebimento de seus créditos.  </w:t>
      </w:r>
    </w:p>
    <w:p w14:paraId="52CA4D29">
      <w:pPr>
        <w:spacing w:line="288" w:lineRule="auto"/>
        <w:contextualSpacing/>
        <w:jc w:val="both"/>
        <w:rPr>
          <w:sz w:val="24"/>
          <w:szCs w:val="24"/>
        </w:rPr>
      </w:pPr>
    </w:p>
    <w:p w14:paraId="35FF0885">
      <w:pPr>
        <w:spacing w:line="288" w:lineRule="auto"/>
        <w:contextualSpacing/>
        <w:jc w:val="both"/>
        <w:rPr>
          <w:sz w:val="24"/>
          <w:szCs w:val="24"/>
        </w:rPr>
      </w:pPr>
      <w:r>
        <w:rPr>
          <w:sz w:val="24"/>
          <w:szCs w:val="24"/>
        </w:rPr>
        <w:t xml:space="preserve">6.7.3 Persistindo a irregularidade, o </w:t>
      </w:r>
      <w:r>
        <w:rPr>
          <w:b/>
          <w:bCs/>
          <w:sz w:val="24"/>
          <w:szCs w:val="24"/>
        </w:rPr>
        <w:t>CONTRATANTE</w:t>
      </w:r>
      <w:r>
        <w:rPr>
          <w:sz w:val="24"/>
          <w:szCs w:val="24"/>
        </w:rPr>
        <w:t xml:space="preserve"> deverá adotar as medidas necessárias à rescisão do Contrato nos autos do processo administrativo correspondente, assegurada ao </w:t>
      </w:r>
      <w:r>
        <w:rPr>
          <w:b/>
          <w:bCs/>
          <w:sz w:val="24"/>
          <w:szCs w:val="24"/>
        </w:rPr>
        <w:t>CONTRATADO</w:t>
      </w:r>
      <w:r>
        <w:rPr>
          <w:sz w:val="24"/>
          <w:szCs w:val="24"/>
        </w:rPr>
        <w:t xml:space="preserve"> a ampla defesa.</w:t>
      </w:r>
    </w:p>
    <w:p w14:paraId="13F69C01">
      <w:pPr>
        <w:spacing w:line="288" w:lineRule="auto"/>
        <w:contextualSpacing/>
        <w:jc w:val="both"/>
        <w:rPr>
          <w:sz w:val="24"/>
          <w:szCs w:val="24"/>
        </w:rPr>
      </w:pPr>
    </w:p>
    <w:p w14:paraId="76CB82FD">
      <w:pPr>
        <w:spacing w:line="288" w:lineRule="auto"/>
        <w:contextualSpacing/>
        <w:jc w:val="both"/>
        <w:rPr>
          <w:sz w:val="24"/>
          <w:szCs w:val="24"/>
        </w:rPr>
      </w:pPr>
      <w:r>
        <w:rPr>
          <w:sz w:val="24"/>
          <w:szCs w:val="24"/>
        </w:rPr>
        <w:t xml:space="preserve">6.7.4 Havendo a efetiva execução do objeto, os pagamentos serão realizados normalmente, até que se decida pela rescisão do Contrato, caso o </w:t>
      </w:r>
      <w:r>
        <w:rPr>
          <w:b/>
          <w:bCs/>
          <w:sz w:val="24"/>
          <w:szCs w:val="24"/>
        </w:rPr>
        <w:t>CONTRATADO</w:t>
      </w:r>
      <w:r>
        <w:rPr>
          <w:sz w:val="24"/>
          <w:szCs w:val="24"/>
        </w:rPr>
        <w:t xml:space="preserve"> não regularize sua situação. </w:t>
      </w:r>
    </w:p>
    <w:p w14:paraId="786D1FB0">
      <w:pPr>
        <w:spacing w:line="288" w:lineRule="auto"/>
        <w:contextualSpacing/>
        <w:jc w:val="both"/>
        <w:rPr>
          <w:sz w:val="24"/>
          <w:szCs w:val="24"/>
        </w:rPr>
      </w:pPr>
    </w:p>
    <w:p w14:paraId="0D65A5D7">
      <w:pPr>
        <w:spacing w:line="288" w:lineRule="auto"/>
        <w:contextualSpacing/>
        <w:jc w:val="both"/>
        <w:rPr>
          <w:sz w:val="24"/>
          <w:szCs w:val="24"/>
        </w:rPr>
      </w:pPr>
      <w:r>
        <w:rPr>
          <w:sz w:val="24"/>
          <w:szCs w:val="24"/>
        </w:rPr>
        <w:t>6.8 O pagamento será efetuado no prazo máximo de até 30</w:t>
      </w:r>
      <w:r>
        <w:rPr>
          <w:color w:val="FF0000"/>
          <w:sz w:val="24"/>
          <w:szCs w:val="24"/>
        </w:rPr>
        <w:t xml:space="preserve"> </w:t>
      </w:r>
      <w:r>
        <w:rPr>
          <w:sz w:val="24"/>
          <w:szCs w:val="24"/>
        </w:rPr>
        <w:t>(trinta)</w:t>
      </w:r>
      <w:r>
        <w:rPr>
          <w:color w:val="FF0000"/>
          <w:sz w:val="24"/>
          <w:szCs w:val="24"/>
        </w:rPr>
        <w:t xml:space="preserve"> </w:t>
      </w:r>
      <w:r>
        <w:rPr>
          <w:sz w:val="24"/>
          <w:szCs w:val="24"/>
        </w:rPr>
        <w:t>dias, contado do recebimento da Nota Fiscal ou Fatura.</w:t>
      </w:r>
    </w:p>
    <w:p w14:paraId="0F97E92C">
      <w:pPr>
        <w:spacing w:line="288" w:lineRule="auto"/>
        <w:contextualSpacing/>
        <w:jc w:val="both"/>
        <w:rPr>
          <w:color w:val="FF0000"/>
          <w:sz w:val="24"/>
          <w:szCs w:val="24"/>
        </w:rPr>
      </w:pPr>
    </w:p>
    <w:p w14:paraId="51D8FC13">
      <w:pPr>
        <w:spacing w:line="288" w:lineRule="auto"/>
        <w:contextualSpacing/>
        <w:jc w:val="both"/>
        <w:rPr>
          <w:sz w:val="24"/>
          <w:szCs w:val="24"/>
        </w:rPr>
      </w:pPr>
      <w:r>
        <w:rPr>
          <w:sz w:val="24"/>
          <w:szCs w:val="24"/>
        </w:rPr>
        <w:t xml:space="preserve">6.8.1 Havendo erro na apresentação da Nota Fiscal ou Fatura, ou circunstância que impeça a liquidação da despesa, o pagamento ficará sobrestado até que o </w:t>
      </w:r>
      <w:r>
        <w:rPr>
          <w:b/>
          <w:bCs/>
          <w:sz w:val="24"/>
          <w:szCs w:val="24"/>
        </w:rPr>
        <w:t>CONTRATADO</w:t>
      </w:r>
      <w:r>
        <w:rPr>
          <w:sz w:val="24"/>
          <w:szCs w:val="24"/>
        </w:rPr>
        <w:t xml:space="preserve"> providencie as medidas saneadoras. Nessa hipótese, o prazo para pagamento iniciar-se-á após a comprovação da regularização da situação, não acarretando qualquer ônus para o </w:t>
      </w:r>
      <w:r>
        <w:rPr>
          <w:b/>
          <w:bCs/>
          <w:sz w:val="24"/>
          <w:szCs w:val="24"/>
        </w:rPr>
        <w:t>CONTRATANTE</w:t>
      </w:r>
      <w:r>
        <w:rPr>
          <w:sz w:val="24"/>
          <w:szCs w:val="24"/>
        </w:rPr>
        <w:t>.</w:t>
      </w:r>
    </w:p>
    <w:p w14:paraId="0C4B3C7F">
      <w:pPr>
        <w:spacing w:line="288" w:lineRule="auto"/>
        <w:contextualSpacing/>
        <w:jc w:val="both"/>
        <w:rPr>
          <w:sz w:val="24"/>
          <w:szCs w:val="24"/>
        </w:rPr>
      </w:pPr>
    </w:p>
    <w:p w14:paraId="3D5C9493">
      <w:pPr>
        <w:spacing w:line="288" w:lineRule="auto"/>
        <w:contextualSpacing/>
        <w:jc w:val="both"/>
        <w:rPr>
          <w:sz w:val="24"/>
          <w:szCs w:val="24"/>
        </w:rPr>
      </w:pPr>
      <w:r>
        <w:rPr>
          <w:sz w:val="24"/>
          <w:szCs w:val="24"/>
        </w:rPr>
        <w:t>6.9 Quando do pagamento, será efetuada a retenção tributária prevista na legislação aplicável.</w:t>
      </w:r>
    </w:p>
    <w:p w14:paraId="23BCAD56">
      <w:pPr>
        <w:spacing w:line="288" w:lineRule="auto"/>
        <w:contextualSpacing/>
        <w:jc w:val="both"/>
        <w:rPr>
          <w:sz w:val="24"/>
          <w:szCs w:val="24"/>
        </w:rPr>
      </w:pPr>
    </w:p>
    <w:p w14:paraId="18527F3B">
      <w:pPr>
        <w:spacing w:line="288" w:lineRule="auto"/>
        <w:contextualSpacing/>
        <w:jc w:val="both"/>
        <w:rPr>
          <w:sz w:val="24"/>
          <w:szCs w:val="24"/>
        </w:rPr>
      </w:pPr>
      <w:r>
        <w:rPr>
          <w:sz w:val="24"/>
          <w:szCs w:val="24"/>
        </w:rPr>
        <w:t>6.9.1 Independentemente do percentual de tributo inserido na planilha, no pagamento serão retidos na fonte os percentuais estabelecidos na legislação vigente.</w:t>
      </w:r>
    </w:p>
    <w:p w14:paraId="2FE7BCBF">
      <w:pPr>
        <w:spacing w:line="288" w:lineRule="auto"/>
        <w:contextualSpacing/>
        <w:jc w:val="both"/>
        <w:rPr>
          <w:sz w:val="24"/>
          <w:szCs w:val="24"/>
        </w:rPr>
      </w:pPr>
    </w:p>
    <w:p w14:paraId="6840BBB5">
      <w:pPr>
        <w:spacing w:line="288" w:lineRule="auto"/>
        <w:contextualSpacing/>
        <w:jc w:val="both"/>
        <w:rPr>
          <w:sz w:val="24"/>
          <w:szCs w:val="24"/>
        </w:rPr>
      </w:pPr>
      <w:r>
        <w:rPr>
          <w:sz w:val="24"/>
          <w:szCs w:val="24"/>
        </w:rPr>
        <w:t xml:space="preserve">6.9.2 O </w:t>
      </w:r>
      <w:r>
        <w:rPr>
          <w:b/>
          <w:bCs/>
          <w:sz w:val="24"/>
          <w:szCs w:val="24"/>
        </w:rPr>
        <w:t>CONTRATADO</w:t>
      </w:r>
      <w:r>
        <w:rPr>
          <w:sz w:val="24"/>
          <w:szCs w:val="24"/>
        </w:rPr>
        <w:t xml:space="preserve"> regularmente optante pelo Simples Nacional, nos termos da Lei Complementar nº 123/2006,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nº 123/2006.</w:t>
      </w:r>
    </w:p>
    <w:p w14:paraId="166E042B">
      <w:pPr>
        <w:spacing w:line="288" w:lineRule="auto"/>
        <w:contextualSpacing/>
        <w:jc w:val="both"/>
        <w:rPr>
          <w:sz w:val="24"/>
          <w:szCs w:val="24"/>
        </w:rPr>
      </w:pPr>
    </w:p>
    <w:p w14:paraId="15A2B14D">
      <w:pPr>
        <w:spacing w:line="288" w:lineRule="auto"/>
        <w:contextualSpacing/>
        <w:jc w:val="both"/>
        <w:rPr>
          <w:iCs/>
          <w:sz w:val="24"/>
          <w:szCs w:val="24"/>
        </w:rPr>
      </w:pPr>
      <w:r>
        <w:rPr>
          <w:color w:val="000000"/>
          <w:sz w:val="24"/>
          <w:szCs w:val="24"/>
        </w:rPr>
        <w:t>6.10 Os pagamentos eventualmente realizados com atraso, desde</w:t>
      </w:r>
      <w:r>
        <w:rPr>
          <w:sz w:val="24"/>
          <w:szCs w:val="24"/>
        </w:rPr>
        <w:t xml:space="preserve"> que não decorram de ato ou fato atribuível ao </w:t>
      </w:r>
      <w:r>
        <w:rPr>
          <w:b/>
          <w:bCs/>
          <w:sz w:val="24"/>
          <w:szCs w:val="24"/>
        </w:rPr>
        <w:t>CONTRATADO</w:t>
      </w:r>
      <w:r>
        <w:rPr>
          <w:sz w:val="24"/>
          <w:szCs w:val="24"/>
        </w:rPr>
        <w:t xml:space="preserve">, sofrerão a incidência de atualização monetária e juros de mora pelo IPCA-E, calculado </w:t>
      </w:r>
      <w:r>
        <w:rPr>
          <w:i/>
          <w:sz w:val="24"/>
          <w:szCs w:val="24"/>
        </w:rPr>
        <w:t>pro rata die</w:t>
      </w:r>
      <w:r>
        <w:rPr>
          <w:sz w:val="24"/>
          <w:szCs w:val="24"/>
        </w:rPr>
        <w:t xml:space="preserve">, e aqueles pagos em prazo inferior ao estabelecido no instrumento convocatório serão feitos mediante desconto de 0,5% (um meio por cento) ao mês, calculado </w:t>
      </w:r>
      <w:r>
        <w:rPr>
          <w:i/>
          <w:sz w:val="24"/>
          <w:szCs w:val="24"/>
        </w:rPr>
        <w:t>pro rata die</w:t>
      </w:r>
      <w:r>
        <w:rPr>
          <w:iCs/>
          <w:sz w:val="24"/>
          <w:szCs w:val="24"/>
        </w:rPr>
        <w:t>.</w:t>
      </w:r>
    </w:p>
    <w:p w14:paraId="1D789BFC">
      <w:pPr>
        <w:spacing w:line="288" w:lineRule="auto"/>
        <w:contextualSpacing/>
        <w:jc w:val="both"/>
        <w:rPr>
          <w:color w:val="000000"/>
          <w:sz w:val="24"/>
          <w:szCs w:val="24"/>
        </w:rPr>
      </w:pPr>
    </w:p>
    <w:p w14:paraId="3704D130">
      <w:pPr>
        <w:spacing w:line="288" w:lineRule="auto"/>
        <w:contextualSpacing/>
        <w:jc w:val="both"/>
        <w:rPr>
          <w:sz w:val="24"/>
          <w:szCs w:val="24"/>
        </w:rPr>
      </w:pPr>
      <w:r>
        <w:rPr>
          <w:color w:val="000000"/>
          <w:sz w:val="24"/>
          <w:szCs w:val="24"/>
        </w:rPr>
        <w:t xml:space="preserve">6.11 </w:t>
      </w:r>
      <w:r>
        <w:rPr>
          <w:sz w:val="24"/>
          <w:szCs w:val="24"/>
        </w:rPr>
        <w:t xml:space="preserve">O </w:t>
      </w:r>
      <w:r>
        <w:rPr>
          <w:b/>
          <w:bCs/>
          <w:sz w:val="24"/>
          <w:szCs w:val="24"/>
        </w:rPr>
        <w:t>CONTRATADO</w:t>
      </w:r>
      <w:r>
        <w:rPr>
          <w:sz w:val="24"/>
          <w:szCs w:val="24"/>
        </w:rPr>
        <w:t xml:space="preserve"> deverá emitir a Nota Fiscal Eletrônica – NF-e, consoante o Protocolo ICMS nº 42/2009, com a redação conferida pelo Protocolo ICMS nº 85/2010, e caso seu estabelecimento esteja localizado no Estado do Rio de Janeiro, deverá observar a forma prescrita nas alíneas </w:t>
      </w:r>
      <w:r>
        <w:rPr>
          <w:iCs/>
          <w:sz w:val="24"/>
          <w:szCs w:val="24"/>
        </w:rPr>
        <w:t>a, b, c, d e e</w:t>
      </w:r>
      <w:r>
        <w:rPr>
          <w:i/>
          <w:sz w:val="24"/>
          <w:szCs w:val="24"/>
        </w:rPr>
        <w:t xml:space="preserve"> </w:t>
      </w:r>
      <w:r>
        <w:rPr>
          <w:sz w:val="24"/>
          <w:szCs w:val="24"/>
        </w:rPr>
        <w:t>do parágrafo 1º do artigo 2º da Resolução SEFAZ nº 971/2016.</w:t>
      </w:r>
    </w:p>
    <w:p w14:paraId="4ED9F295">
      <w:pPr>
        <w:spacing w:line="288" w:lineRule="auto"/>
        <w:contextualSpacing/>
        <w:jc w:val="both"/>
        <w:rPr>
          <w:sz w:val="24"/>
          <w:szCs w:val="24"/>
        </w:rPr>
      </w:pPr>
    </w:p>
    <w:p w14:paraId="1A3C174C">
      <w:pPr>
        <w:spacing w:line="288" w:lineRule="auto"/>
        <w:contextualSpacing/>
        <w:jc w:val="both"/>
        <w:rPr>
          <w:sz w:val="24"/>
          <w:szCs w:val="24"/>
        </w:rPr>
      </w:pPr>
      <w:r>
        <w:rPr>
          <w:sz w:val="24"/>
          <w:szCs w:val="24"/>
        </w:rPr>
        <w:t xml:space="preserve">6.12 Caso o Edital admita a subcontratação, os pagamentos aos subcontratados serão realizados diretamente pelo </w:t>
      </w:r>
      <w:r>
        <w:rPr>
          <w:b/>
          <w:bCs/>
          <w:sz w:val="24"/>
          <w:szCs w:val="24"/>
        </w:rPr>
        <w:t>CONTRATADO</w:t>
      </w:r>
      <w:r>
        <w:rPr>
          <w:sz w:val="24"/>
          <w:szCs w:val="24"/>
        </w:rPr>
        <w:t xml:space="preserve">, ficando vedada a emissão de nota de empenho do </w:t>
      </w:r>
      <w:r>
        <w:rPr>
          <w:b/>
          <w:bCs/>
          <w:sz w:val="24"/>
          <w:szCs w:val="24"/>
        </w:rPr>
        <w:t>CONTRATANTE</w:t>
      </w:r>
      <w:r>
        <w:rPr>
          <w:sz w:val="24"/>
          <w:szCs w:val="24"/>
        </w:rPr>
        <w:t xml:space="preserve"> diretamente aos subcontratados. </w:t>
      </w:r>
    </w:p>
    <w:p w14:paraId="0E5677EF">
      <w:pPr>
        <w:pStyle w:val="91"/>
        <w:numPr>
          <w:ilvl w:val="0"/>
          <w:numId w:val="0"/>
        </w:numPr>
        <w:spacing w:before="0" w:after="0" w:line="288" w:lineRule="auto"/>
        <w:contextualSpacing/>
        <w:rPr>
          <w:rFonts w:ascii="Times New Roman" w:hAnsi="Times New Roman" w:cs="Times New Roman"/>
          <w:i w:val="0"/>
          <w:iCs w:val="0"/>
          <w:color w:val="auto"/>
          <w:sz w:val="24"/>
          <w:szCs w:val="24"/>
        </w:rPr>
      </w:pPr>
    </w:p>
    <w:p w14:paraId="2643BD94">
      <w:pPr>
        <w:pStyle w:val="91"/>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6.12.1 A subcontratação porventura realizada será integralmente custeada pelo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w:t>
      </w:r>
    </w:p>
    <w:p w14:paraId="0FCCA19F">
      <w:pPr>
        <w:pStyle w:val="91"/>
        <w:numPr>
          <w:ilvl w:val="0"/>
          <w:numId w:val="0"/>
        </w:numPr>
        <w:spacing w:before="0" w:after="0" w:line="288" w:lineRule="auto"/>
        <w:contextualSpacing/>
        <w:rPr>
          <w:rFonts w:ascii="Times New Roman" w:hAnsi="Times New Roman" w:cs="Times New Roman"/>
          <w:i w:val="0"/>
          <w:iCs w:val="0"/>
          <w:color w:val="auto"/>
          <w:sz w:val="24"/>
          <w:szCs w:val="24"/>
        </w:rPr>
      </w:pPr>
    </w:p>
    <w:p w14:paraId="386115D9">
      <w:pPr>
        <w:pStyle w:val="85"/>
        <w:spacing w:before="0" w:line="288" w:lineRule="auto"/>
        <w:ind w:left="0" w:firstLine="0"/>
        <w:contextualSpacing/>
        <w:rPr>
          <w:rStyle w:val="14"/>
          <w:rFonts w:ascii="Times New Roman" w:hAnsi="Times New Roman" w:cs="Times New Roman" w:eastAsiaTheme="minorHAnsi"/>
          <w:b w:val="0"/>
          <w:bCs w:val="0"/>
          <w:sz w:val="24"/>
          <w:szCs w:val="24"/>
        </w:rPr>
      </w:pPr>
      <w:r>
        <w:rPr>
          <w:rFonts w:ascii="Times New Roman" w:hAnsi="Times New Roman" w:cs="Times New Roman"/>
          <w:sz w:val="24"/>
          <w:szCs w:val="24"/>
        </w:rPr>
        <w:t xml:space="preserve">CLÁUSULA SÉTIMA - REAJUSTE </w:t>
      </w:r>
    </w:p>
    <w:p w14:paraId="7F8FEB70">
      <w:pPr>
        <w:spacing w:line="288" w:lineRule="auto"/>
        <w:contextualSpacing/>
        <w:jc w:val="both"/>
        <w:rPr>
          <w:sz w:val="24"/>
          <w:szCs w:val="24"/>
        </w:rPr>
      </w:pPr>
    </w:p>
    <w:p w14:paraId="4F481E13">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7.1 Os preços contratados serão reajustados após o interregno de 1 (um) ano, mediante solicitação do </w:t>
      </w:r>
      <w:r>
        <w:rPr>
          <w:rFonts w:ascii="Times New Roman" w:hAnsi="Times New Roman" w:cs="Times New Roman"/>
          <w:b/>
          <w:bCs/>
          <w:sz w:val="24"/>
          <w:szCs w:val="24"/>
        </w:rPr>
        <w:t>CONTRATADO</w:t>
      </w:r>
      <w:r>
        <w:rPr>
          <w:rFonts w:ascii="Times New Roman" w:hAnsi="Times New Roman" w:cs="Times New Roman"/>
          <w:sz w:val="24"/>
          <w:szCs w:val="24"/>
        </w:rPr>
        <w:t>.</w:t>
      </w:r>
    </w:p>
    <w:p w14:paraId="1CB69872">
      <w:pPr>
        <w:pStyle w:val="83"/>
        <w:spacing w:before="0" w:after="0" w:line="288" w:lineRule="auto"/>
        <w:ind w:left="0" w:firstLine="0"/>
        <w:contextualSpacing/>
        <w:rPr>
          <w:rFonts w:ascii="Times New Roman" w:hAnsi="Times New Roman" w:cs="Times New Roman"/>
          <w:sz w:val="24"/>
          <w:szCs w:val="24"/>
        </w:rPr>
      </w:pPr>
    </w:p>
    <w:p w14:paraId="24030337">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7.2 O interregno mínimo de 1 (um) ano para o primeiro reajuste será contado da data do orçamento estimado. </w:t>
      </w:r>
    </w:p>
    <w:p w14:paraId="229F187E">
      <w:pPr>
        <w:pStyle w:val="83"/>
        <w:spacing w:before="0" w:after="0" w:line="288" w:lineRule="auto"/>
        <w:ind w:left="0" w:firstLine="0"/>
        <w:contextualSpacing/>
        <w:rPr>
          <w:rFonts w:ascii="Times New Roman" w:hAnsi="Times New Roman" w:cs="Times New Roman"/>
          <w:sz w:val="24"/>
          <w:szCs w:val="24"/>
        </w:rPr>
      </w:pPr>
    </w:p>
    <w:p w14:paraId="4C7B6680">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7.3 Nos reajustes subsequentes ao primeiro, o interregno mínimo de 1 (um) ano será contado a partir do fato gerador que deu ensejo ao último reajuste.</w:t>
      </w:r>
    </w:p>
    <w:p w14:paraId="35181657">
      <w:pPr>
        <w:pStyle w:val="83"/>
        <w:spacing w:before="0" w:after="0" w:line="288" w:lineRule="auto"/>
        <w:ind w:left="0" w:firstLine="0"/>
        <w:contextualSpacing/>
        <w:rPr>
          <w:rFonts w:ascii="Times New Roman" w:hAnsi="Times New Roman" w:cs="Times New Roman"/>
          <w:sz w:val="24"/>
          <w:szCs w:val="24"/>
        </w:rPr>
      </w:pPr>
    </w:p>
    <w:p w14:paraId="781DD946">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7.4 Os preços iniciais serão reajustados, mediante a aplicação, pelo </w:t>
      </w:r>
      <w:r>
        <w:rPr>
          <w:rFonts w:ascii="Times New Roman" w:hAnsi="Times New Roman" w:cs="Times New Roman"/>
          <w:b/>
          <w:bCs/>
          <w:sz w:val="24"/>
          <w:szCs w:val="24"/>
        </w:rPr>
        <w:t>CONTRATANTE</w:t>
      </w:r>
      <w:r>
        <w:rPr>
          <w:rFonts w:ascii="Times New Roman" w:hAnsi="Times New Roman" w:cs="Times New Roman"/>
          <w:sz w:val="24"/>
          <w:szCs w:val="24"/>
        </w:rPr>
        <w:t>, do índice IPCA-E</w:t>
      </w:r>
      <w:r>
        <w:rPr>
          <w:rFonts w:ascii="Times New Roman" w:hAnsi="Times New Roman" w:cs="Times New Roman"/>
          <w:i/>
          <w:iCs/>
          <w:sz w:val="24"/>
          <w:szCs w:val="24"/>
        </w:rPr>
        <w:t>,</w:t>
      </w:r>
      <w:r>
        <w:rPr>
          <w:rFonts w:ascii="Times New Roman" w:hAnsi="Times New Roman" w:cs="Times New Roman"/>
          <w:sz w:val="24"/>
          <w:szCs w:val="24"/>
        </w:rPr>
        <w:t xml:space="preserve"> exclusivamente para as obrigações </w:t>
      </w:r>
      <w:r>
        <w:rPr>
          <w:rFonts w:ascii="Times New Roman" w:hAnsi="Times New Roman" w:cs="Times New Roman"/>
          <w:color w:val="auto"/>
          <w:sz w:val="24"/>
          <w:szCs w:val="24"/>
        </w:rPr>
        <w:t>que se iniciem após a anualidade</w:t>
      </w:r>
      <w:r>
        <w:rPr>
          <w:rFonts w:ascii="Times New Roman" w:hAnsi="Times New Roman" w:cs="Times New Roman"/>
          <w:sz w:val="24"/>
          <w:szCs w:val="24"/>
        </w:rPr>
        <w:t>.</w:t>
      </w:r>
    </w:p>
    <w:p w14:paraId="2C25522F">
      <w:pPr>
        <w:pStyle w:val="83"/>
        <w:spacing w:before="0" w:after="0" w:line="288" w:lineRule="auto"/>
        <w:ind w:left="0" w:firstLine="0"/>
        <w:contextualSpacing/>
        <w:rPr>
          <w:rFonts w:ascii="Times New Roman" w:hAnsi="Times New Roman" w:cs="Times New Roman"/>
          <w:sz w:val="24"/>
          <w:szCs w:val="24"/>
        </w:rPr>
      </w:pPr>
    </w:p>
    <w:p w14:paraId="2ECEA360">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7.5 No caso de atraso ou não divulgação do(s) índice(s) de reajustamento, o </w:t>
      </w:r>
      <w:r>
        <w:rPr>
          <w:rFonts w:ascii="Times New Roman" w:hAnsi="Times New Roman" w:cs="Times New Roman"/>
          <w:b/>
          <w:bCs/>
          <w:sz w:val="24"/>
          <w:szCs w:val="24"/>
        </w:rPr>
        <w:t>CONTRATANTE</w:t>
      </w:r>
      <w:r>
        <w:rPr>
          <w:rFonts w:ascii="Times New Roman" w:hAnsi="Times New Roman" w:cs="Times New Roman"/>
          <w:sz w:val="24"/>
          <w:szCs w:val="24"/>
        </w:rPr>
        <w:t xml:space="preserve"> pagará ao </w:t>
      </w:r>
      <w:r>
        <w:rPr>
          <w:rFonts w:ascii="Times New Roman" w:hAnsi="Times New Roman" w:cs="Times New Roman"/>
          <w:b/>
          <w:bCs/>
          <w:sz w:val="24"/>
          <w:szCs w:val="24"/>
        </w:rPr>
        <w:t>CONTRATADO</w:t>
      </w:r>
      <w:r>
        <w:rPr>
          <w:rFonts w:ascii="Times New Roman" w:hAnsi="Times New Roman" w:cs="Times New Roman"/>
          <w:sz w:val="24"/>
          <w:szCs w:val="24"/>
        </w:rPr>
        <w:t xml:space="preserve"> a importância calculada pela última variação conhecida, liquidando a diferença correspondente tão logo seja(m) divulgado(s) o(s) índice(s) definitivo(s). </w:t>
      </w:r>
    </w:p>
    <w:p w14:paraId="485E6C98">
      <w:pPr>
        <w:pStyle w:val="83"/>
        <w:spacing w:before="0" w:after="0" w:line="288" w:lineRule="auto"/>
        <w:ind w:left="0" w:firstLine="0"/>
        <w:contextualSpacing/>
        <w:rPr>
          <w:rFonts w:ascii="Times New Roman" w:hAnsi="Times New Roman" w:cs="Times New Roman"/>
          <w:sz w:val="24"/>
          <w:szCs w:val="24"/>
        </w:rPr>
      </w:pPr>
    </w:p>
    <w:p w14:paraId="6978F170">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7.5.1 Fica o </w:t>
      </w:r>
      <w:r>
        <w:rPr>
          <w:rFonts w:ascii="Times New Roman" w:hAnsi="Times New Roman" w:cs="Times New Roman"/>
          <w:b/>
          <w:bCs/>
          <w:sz w:val="24"/>
          <w:szCs w:val="24"/>
        </w:rPr>
        <w:t>CONTRATADO</w:t>
      </w:r>
      <w:r>
        <w:rPr>
          <w:rFonts w:ascii="Times New Roman" w:hAnsi="Times New Roman" w:cs="Times New Roman"/>
          <w:sz w:val="24"/>
          <w:szCs w:val="24"/>
        </w:rPr>
        <w:t xml:space="preserve"> obrigado a apresentar memória de cálculo referente ao reajustamento de preços do valor remanescente, sempre que este ocorrer, sendo adotado na aferição final o índice definitivo.</w:t>
      </w:r>
    </w:p>
    <w:p w14:paraId="5FD336F1">
      <w:pPr>
        <w:pStyle w:val="83"/>
        <w:spacing w:before="0" w:after="0" w:line="288" w:lineRule="auto"/>
        <w:ind w:left="0" w:firstLine="0"/>
        <w:contextualSpacing/>
        <w:rPr>
          <w:rFonts w:ascii="Times New Roman" w:hAnsi="Times New Roman" w:cs="Times New Roman"/>
          <w:sz w:val="24"/>
          <w:szCs w:val="24"/>
        </w:rPr>
      </w:pPr>
    </w:p>
    <w:p w14:paraId="44EFB2E9">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7.6 Caso o(s) índice(s) estabelecido(s) para reajustamento venha(m) a ser extinto(s) ou de qualquer forma não possa(m) mais ser utilizado(s), será(ão) adotado(s), em substituição, o(s) que vier(em) a ser determinado(s) pela legislação então em vigor.</w:t>
      </w:r>
    </w:p>
    <w:p w14:paraId="3AAF7C0C">
      <w:pPr>
        <w:pStyle w:val="83"/>
        <w:spacing w:before="0" w:after="0" w:line="288" w:lineRule="auto"/>
        <w:ind w:left="0" w:firstLine="0"/>
        <w:contextualSpacing/>
        <w:rPr>
          <w:rFonts w:ascii="Times New Roman" w:hAnsi="Times New Roman" w:cs="Times New Roman"/>
          <w:sz w:val="24"/>
          <w:szCs w:val="24"/>
        </w:rPr>
      </w:pPr>
    </w:p>
    <w:p w14:paraId="7936A54F">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7.7 Na ausência de previsão legal quanto ao índice substituto, as partes elegerão novo índice oficial, para reajustamento do preço do valor remanescente, por meio de termo aditivo.</w:t>
      </w:r>
    </w:p>
    <w:p w14:paraId="4070B672">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 </w:t>
      </w:r>
    </w:p>
    <w:p w14:paraId="3F13F8DF">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7.8 O pedido de reajuste deverá ser formulado durante a vigência do Contrato e antes de eventual prorrogação contratual, sob pena de preclusão.</w:t>
      </w:r>
    </w:p>
    <w:p w14:paraId="7C3F6B75">
      <w:pPr>
        <w:spacing w:after="160" w:line="288" w:lineRule="auto"/>
        <w:contextualSpacing/>
        <w:jc w:val="both"/>
        <w:rPr>
          <w:sz w:val="24"/>
          <w:szCs w:val="24"/>
        </w:rPr>
      </w:pPr>
    </w:p>
    <w:p w14:paraId="280A6FA7">
      <w:pPr>
        <w:spacing w:after="160" w:line="288" w:lineRule="auto"/>
        <w:contextualSpacing/>
        <w:jc w:val="both"/>
        <w:rPr>
          <w:sz w:val="24"/>
          <w:szCs w:val="24"/>
        </w:rPr>
      </w:pPr>
      <w:r>
        <w:rPr>
          <w:sz w:val="24"/>
          <w:szCs w:val="24"/>
        </w:rPr>
        <w:t>7.8.1 Os efeitos financeiros do pedido de reajuste serão contados:</w:t>
      </w:r>
    </w:p>
    <w:p w14:paraId="336A0ECB">
      <w:pPr>
        <w:spacing w:line="288" w:lineRule="auto"/>
        <w:contextualSpacing/>
        <w:jc w:val="both"/>
        <w:rPr>
          <w:sz w:val="24"/>
          <w:szCs w:val="24"/>
        </w:rPr>
      </w:pPr>
      <w:r>
        <w:rPr>
          <w:sz w:val="24"/>
          <w:szCs w:val="24"/>
        </w:rPr>
        <w:t>a) da data-base prevista no Contrato, desde que requerido o reajuste no prazo de 60 (sessenta) dias da data de publicação do índice ajustado contratualmente;</w:t>
      </w:r>
    </w:p>
    <w:p w14:paraId="06C65346">
      <w:pPr>
        <w:spacing w:line="288" w:lineRule="auto"/>
        <w:ind w:left="40"/>
        <w:contextualSpacing/>
        <w:jc w:val="both"/>
        <w:rPr>
          <w:sz w:val="24"/>
          <w:szCs w:val="24"/>
        </w:rPr>
      </w:pPr>
      <w:r>
        <w:rPr>
          <w:sz w:val="24"/>
          <w:szCs w:val="24"/>
        </w:rPr>
        <w:t xml:space="preserve">b) a partir da data do requerimento do </w:t>
      </w:r>
      <w:r>
        <w:rPr>
          <w:b/>
          <w:bCs/>
          <w:sz w:val="24"/>
          <w:szCs w:val="24"/>
        </w:rPr>
        <w:t>CONTRATADO</w:t>
      </w:r>
      <w:r>
        <w:rPr>
          <w:sz w:val="24"/>
          <w:szCs w:val="24"/>
        </w:rPr>
        <w:t xml:space="preserve">, caso o pedido seja formulado após o prazo fixado na alínea </w:t>
      </w:r>
      <w:r>
        <w:rPr>
          <w:sz w:val="24"/>
          <w:szCs w:val="24"/>
          <w:u w:val="single"/>
        </w:rPr>
        <w:t>a</w:t>
      </w:r>
      <w:r>
        <w:rPr>
          <w:sz w:val="24"/>
          <w:szCs w:val="24"/>
        </w:rPr>
        <w:t>, acima, o que não acarretará a alteração do marco para cômputo da anualidade do reajustamento, já adotado no Edital e no Contrato.</w:t>
      </w:r>
    </w:p>
    <w:p w14:paraId="01754986">
      <w:pPr>
        <w:spacing w:line="288" w:lineRule="auto"/>
        <w:ind w:left="40"/>
        <w:contextualSpacing/>
        <w:jc w:val="both"/>
        <w:rPr>
          <w:sz w:val="24"/>
          <w:szCs w:val="24"/>
        </w:rPr>
      </w:pPr>
    </w:p>
    <w:p w14:paraId="0B9249CA">
      <w:pPr>
        <w:spacing w:line="288" w:lineRule="auto"/>
        <w:ind w:left="40"/>
        <w:contextualSpacing/>
        <w:jc w:val="both"/>
        <w:rPr>
          <w:sz w:val="24"/>
          <w:szCs w:val="24"/>
        </w:rPr>
      </w:pPr>
      <w:r>
        <w:rPr>
          <w:sz w:val="24"/>
          <w:szCs w:val="24"/>
        </w:rPr>
        <w:t xml:space="preserve">7.9 Caso, na data de eventual prorrogação contratual, ainda não tenha sido divulgado o índice de reajuste, deverá, a requerimento do </w:t>
      </w:r>
      <w:r>
        <w:rPr>
          <w:b/>
          <w:bCs/>
          <w:sz w:val="24"/>
          <w:szCs w:val="24"/>
        </w:rPr>
        <w:t>CONTRATADO</w:t>
      </w:r>
      <w:r>
        <w:rPr>
          <w:sz w:val="24"/>
          <w:szCs w:val="24"/>
        </w:rPr>
        <w:t xml:space="preserve">, ser inserida cláusula no termo aditivo de prorrogação para resguardar o direito futuro do </w:t>
      </w:r>
      <w:r>
        <w:rPr>
          <w:b/>
          <w:bCs/>
          <w:sz w:val="24"/>
          <w:szCs w:val="24"/>
        </w:rPr>
        <w:t>CONTRATADO</w:t>
      </w:r>
      <w:r>
        <w:rPr>
          <w:sz w:val="24"/>
          <w:szCs w:val="24"/>
        </w:rPr>
        <w:t>, a ser exercido tão logo se disponha dos valores reajustados, sob pena de preclusão.</w:t>
      </w:r>
    </w:p>
    <w:p w14:paraId="06256F07">
      <w:pPr>
        <w:spacing w:line="288" w:lineRule="auto"/>
        <w:ind w:left="40"/>
        <w:contextualSpacing/>
        <w:jc w:val="both"/>
        <w:rPr>
          <w:sz w:val="24"/>
          <w:szCs w:val="24"/>
        </w:rPr>
      </w:pPr>
    </w:p>
    <w:p w14:paraId="652117B3">
      <w:pPr>
        <w:spacing w:line="288" w:lineRule="auto"/>
        <w:ind w:left="40"/>
        <w:contextualSpacing/>
        <w:jc w:val="both"/>
        <w:rPr>
          <w:sz w:val="24"/>
          <w:szCs w:val="24"/>
        </w:rPr>
      </w:pPr>
      <w:r>
        <w:rPr>
          <w:sz w:val="24"/>
          <w:szCs w:val="24"/>
        </w:rPr>
        <w:t>7.10 A extinção do Contrato não configurará óbice para o deferimento do reajuste solicitado tempestivamente, hipótese em que será concedido por meio de termo indenizatório.</w:t>
      </w:r>
    </w:p>
    <w:p w14:paraId="41972068">
      <w:pPr>
        <w:pStyle w:val="83"/>
        <w:spacing w:before="0" w:after="0" w:line="288" w:lineRule="auto"/>
        <w:ind w:left="0" w:firstLine="0"/>
        <w:contextualSpacing/>
        <w:rPr>
          <w:rFonts w:ascii="Times New Roman" w:hAnsi="Times New Roman" w:cs="Times New Roman"/>
          <w:sz w:val="24"/>
          <w:szCs w:val="24"/>
        </w:rPr>
      </w:pPr>
    </w:p>
    <w:p w14:paraId="5DC30701">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7.11 O reajuste será realizado por apostilamento, se esta for a única alteração contratual a ser realizada.</w:t>
      </w:r>
    </w:p>
    <w:p w14:paraId="1DF0874F">
      <w:pPr>
        <w:pStyle w:val="83"/>
        <w:spacing w:before="0" w:after="0" w:line="288" w:lineRule="auto"/>
        <w:ind w:left="0" w:firstLine="0"/>
        <w:contextualSpacing/>
        <w:rPr>
          <w:rFonts w:ascii="Times New Roman" w:hAnsi="Times New Roman" w:cs="Times New Roman"/>
          <w:color w:val="auto"/>
          <w:sz w:val="24"/>
          <w:szCs w:val="24"/>
        </w:rPr>
      </w:pPr>
    </w:p>
    <w:p w14:paraId="2F83A24A">
      <w:pPr>
        <w:pStyle w:val="91"/>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7.12 O reajuste de preços não interfere no direito das partes de solicitar, a qualquer momento, a manutenção do equilíbrio econômico dos contratos com base no disposto no art. 124, inciso II, alínea d, da Lei nº 14.133/2021. </w:t>
      </w:r>
    </w:p>
    <w:p w14:paraId="67F5BA63">
      <w:pPr>
        <w:pStyle w:val="91"/>
        <w:numPr>
          <w:ilvl w:val="0"/>
          <w:numId w:val="0"/>
        </w:numPr>
        <w:spacing w:before="0" w:after="0" w:line="288" w:lineRule="auto"/>
        <w:contextualSpacing/>
        <w:rPr>
          <w:rFonts w:ascii="Times New Roman" w:hAnsi="Times New Roman" w:cs="Times New Roman"/>
          <w:i w:val="0"/>
          <w:iCs w:val="0"/>
          <w:color w:val="auto"/>
          <w:sz w:val="24"/>
          <w:szCs w:val="24"/>
        </w:rPr>
      </w:pPr>
    </w:p>
    <w:p w14:paraId="58FC4912">
      <w:pPr>
        <w:pStyle w:val="91"/>
        <w:numPr>
          <w:ilvl w:val="0"/>
          <w:numId w:val="0"/>
        </w:numPr>
        <w:spacing w:before="0" w:after="0" w:line="288" w:lineRule="auto"/>
        <w:contextualSpacing/>
        <w:rPr>
          <w:rFonts w:ascii="Times New Roman" w:hAnsi="Times New Roman" w:cs="Times New Roman"/>
          <w:b/>
          <w:bCs/>
          <w:i w:val="0"/>
          <w:iCs w:val="0"/>
          <w:color w:val="auto"/>
          <w:sz w:val="24"/>
          <w:szCs w:val="24"/>
        </w:rPr>
      </w:pPr>
      <w:r>
        <w:rPr>
          <w:rFonts w:ascii="Times New Roman" w:hAnsi="Times New Roman" w:cs="Times New Roman"/>
          <w:b/>
          <w:bCs/>
          <w:i w:val="0"/>
          <w:iCs w:val="0"/>
          <w:color w:val="auto"/>
          <w:sz w:val="24"/>
          <w:szCs w:val="24"/>
        </w:rPr>
        <w:t>CLÁUSULA OITAVA – OBRIGAÇÕES DO CONTRATANTE</w:t>
      </w:r>
    </w:p>
    <w:p w14:paraId="618C20F6">
      <w:pPr>
        <w:pStyle w:val="91"/>
        <w:numPr>
          <w:ilvl w:val="0"/>
          <w:numId w:val="0"/>
        </w:numPr>
        <w:spacing w:before="0" w:after="0" w:line="288" w:lineRule="auto"/>
        <w:contextualSpacing/>
        <w:rPr>
          <w:rFonts w:ascii="Times New Roman" w:hAnsi="Times New Roman" w:cs="Times New Roman"/>
          <w:i w:val="0"/>
          <w:iCs w:val="0"/>
          <w:color w:val="auto"/>
          <w:sz w:val="24"/>
          <w:szCs w:val="24"/>
        </w:rPr>
      </w:pPr>
    </w:p>
    <w:p w14:paraId="57D96D02">
      <w:pPr>
        <w:pStyle w:val="91"/>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8.1 São obrigações do </w:t>
      </w:r>
      <w:r>
        <w:rPr>
          <w:rFonts w:ascii="Times New Roman" w:hAnsi="Times New Roman" w:cs="Times New Roman"/>
          <w:b/>
          <w:bCs/>
          <w:i w:val="0"/>
          <w:iCs w:val="0"/>
          <w:color w:val="auto"/>
          <w:sz w:val="24"/>
          <w:szCs w:val="24"/>
        </w:rPr>
        <w:t>CONTRATANTE</w:t>
      </w:r>
      <w:r>
        <w:rPr>
          <w:rFonts w:ascii="Times New Roman" w:hAnsi="Times New Roman" w:cs="Times New Roman"/>
          <w:i w:val="0"/>
          <w:iCs w:val="0"/>
          <w:color w:val="auto"/>
          <w:sz w:val="24"/>
          <w:szCs w:val="24"/>
        </w:rPr>
        <w:t>:</w:t>
      </w:r>
    </w:p>
    <w:p w14:paraId="4B37D84B">
      <w:pPr>
        <w:pStyle w:val="91"/>
        <w:numPr>
          <w:ilvl w:val="0"/>
          <w:numId w:val="0"/>
        </w:numPr>
        <w:spacing w:before="0" w:after="0" w:line="288" w:lineRule="auto"/>
        <w:contextualSpacing/>
        <w:rPr>
          <w:rFonts w:ascii="Times New Roman" w:hAnsi="Times New Roman" w:cs="Times New Roman"/>
          <w:i w:val="0"/>
          <w:iCs w:val="0"/>
          <w:color w:val="auto"/>
          <w:sz w:val="24"/>
          <w:szCs w:val="24"/>
        </w:rPr>
      </w:pPr>
    </w:p>
    <w:p w14:paraId="387184AC">
      <w:pPr>
        <w:pStyle w:val="91"/>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8.1.1 Exigir o cumprimento de todas as obrigações assumidas pelo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 de acordo com o Contrato e seus Anexos.</w:t>
      </w:r>
    </w:p>
    <w:p w14:paraId="75FB82A3">
      <w:pPr>
        <w:pStyle w:val="91"/>
        <w:numPr>
          <w:ilvl w:val="0"/>
          <w:numId w:val="0"/>
        </w:numPr>
        <w:spacing w:before="0" w:after="0" w:line="288" w:lineRule="auto"/>
        <w:contextualSpacing/>
        <w:rPr>
          <w:rFonts w:ascii="Times New Roman" w:hAnsi="Times New Roman" w:cs="Times New Roman"/>
          <w:i w:val="0"/>
          <w:iCs w:val="0"/>
          <w:color w:val="auto"/>
          <w:sz w:val="24"/>
          <w:szCs w:val="24"/>
        </w:rPr>
      </w:pPr>
    </w:p>
    <w:p w14:paraId="4CCFA458">
      <w:pPr>
        <w:pStyle w:val="91"/>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8.1.2 Receber o objeto no prazo e condições estabelecidas no Termo de Referência.</w:t>
      </w:r>
    </w:p>
    <w:p w14:paraId="54E0AAFF">
      <w:pPr>
        <w:pStyle w:val="91"/>
        <w:numPr>
          <w:ilvl w:val="0"/>
          <w:numId w:val="0"/>
        </w:numPr>
        <w:spacing w:before="0" w:after="0" w:line="288" w:lineRule="auto"/>
        <w:contextualSpacing/>
        <w:rPr>
          <w:rFonts w:ascii="Times New Roman" w:hAnsi="Times New Roman" w:cs="Times New Roman"/>
          <w:i w:val="0"/>
          <w:iCs w:val="0"/>
          <w:color w:val="auto"/>
          <w:sz w:val="24"/>
          <w:szCs w:val="24"/>
        </w:rPr>
      </w:pPr>
    </w:p>
    <w:p w14:paraId="4A0CC91C">
      <w:pPr>
        <w:pStyle w:val="91"/>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8.1.3 Notificar 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 por escrito, sobre vícios, defeitos ou incorreções verificadas no objeto fornecido, para que seja por ele substituído, reparado ou corrigido, no total ou em parte, às suas expensas.</w:t>
      </w:r>
    </w:p>
    <w:p w14:paraId="678C1428">
      <w:pPr>
        <w:pStyle w:val="91"/>
        <w:numPr>
          <w:ilvl w:val="0"/>
          <w:numId w:val="0"/>
        </w:numPr>
        <w:spacing w:before="0" w:after="0" w:line="288" w:lineRule="auto"/>
        <w:contextualSpacing/>
        <w:rPr>
          <w:rFonts w:ascii="Times New Roman" w:hAnsi="Times New Roman" w:cs="Times New Roman"/>
          <w:i w:val="0"/>
          <w:iCs w:val="0"/>
          <w:color w:val="auto"/>
          <w:sz w:val="24"/>
          <w:szCs w:val="24"/>
        </w:rPr>
      </w:pPr>
    </w:p>
    <w:p w14:paraId="03EE2C56">
      <w:pPr>
        <w:pStyle w:val="91"/>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8.1.4 Acompanhar e fiscalizar a execução do Contrato e o cumprimento das obrigações pelo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w:t>
      </w:r>
    </w:p>
    <w:p w14:paraId="63277EA3">
      <w:pPr>
        <w:pStyle w:val="85"/>
        <w:spacing w:before="0" w:line="288" w:lineRule="auto"/>
        <w:ind w:left="0" w:firstLine="0"/>
        <w:contextualSpacing/>
        <w:rPr>
          <w:rFonts w:ascii="Times New Roman" w:hAnsi="Times New Roman" w:cs="Times New Roman"/>
          <w:b w:val="0"/>
          <w:bCs w:val="0"/>
          <w:sz w:val="24"/>
          <w:szCs w:val="24"/>
        </w:rPr>
      </w:pPr>
    </w:p>
    <w:p w14:paraId="7D32112C">
      <w:pPr>
        <w:pStyle w:val="85"/>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 xml:space="preserve">8.1.5 Comunicar ao </w:t>
      </w:r>
      <w:r>
        <w:rPr>
          <w:rFonts w:ascii="Times New Roman" w:hAnsi="Times New Roman" w:cs="Times New Roman"/>
          <w:sz w:val="24"/>
          <w:szCs w:val="24"/>
        </w:rPr>
        <w:t>CONTRATADO</w:t>
      </w:r>
      <w:r>
        <w:rPr>
          <w:rFonts w:ascii="Times New Roman" w:hAnsi="Times New Roman" w:cs="Times New Roman"/>
          <w:b w:val="0"/>
          <w:bCs w:val="0"/>
          <w:sz w:val="24"/>
          <w:szCs w:val="24"/>
        </w:rPr>
        <w:t xml:space="preserve"> para que emita Nota Fiscal relativa à parcela incontroversa da execução do objeto, com vistas à liquidação e pagamento, no caso de divergência acerca do cumprimento das obrigações assumidas, quanto à dimensão, qualidade e quantidade, conforme o </w:t>
      </w:r>
      <w:r>
        <w:fldChar w:fldCharType="begin"/>
      </w:r>
      <w:r>
        <w:instrText xml:space="preserve"> HYPERLINK "http://www.planalto.gov.br/ccivil_03/_ato2019-2022/2021/lei/L14133.htm" \l "art143" </w:instrText>
      </w:r>
      <w:r>
        <w:fldChar w:fldCharType="separate"/>
      </w:r>
      <w:r>
        <w:rPr>
          <w:rStyle w:val="14"/>
          <w:rFonts w:ascii="Times New Roman" w:hAnsi="Times New Roman" w:cs="Times New Roman" w:eastAsiaTheme="minorHAnsi"/>
          <w:b w:val="0"/>
          <w:bCs w:val="0"/>
          <w:sz w:val="24"/>
          <w:szCs w:val="24"/>
        </w:rPr>
        <w:t>art. 143 da Lei nº 14.133/2021</w:t>
      </w:r>
      <w:r>
        <w:rPr>
          <w:rStyle w:val="14"/>
          <w:rFonts w:ascii="Times New Roman" w:hAnsi="Times New Roman" w:cs="Times New Roman" w:eastAsiaTheme="minorHAnsi"/>
          <w:b w:val="0"/>
          <w:bCs w:val="0"/>
          <w:sz w:val="24"/>
          <w:szCs w:val="24"/>
        </w:rPr>
        <w:fldChar w:fldCharType="end"/>
      </w:r>
      <w:r>
        <w:rPr>
          <w:rFonts w:ascii="Times New Roman" w:hAnsi="Times New Roman" w:cs="Times New Roman"/>
          <w:b w:val="0"/>
          <w:bCs w:val="0"/>
          <w:sz w:val="24"/>
          <w:szCs w:val="24"/>
        </w:rPr>
        <w:t>.</w:t>
      </w:r>
    </w:p>
    <w:p w14:paraId="04C9BCA6">
      <w:pPr>
        <w:pStyle w:val="85"/>
        <w:spacing w:before="0" w:line="288" w:lineRule="auto"/>
        <w:ind w:left="0" w:firstLine="0"/>
        <w:contextualSpacing/>
        <w:rPr>
          <w:rFonts w:ascii="Times New Roman" w:hAnsi="Times New Roman" w:cs="Times New Roman"/>
          <w:b w:val="0"/>
          <w:bCs w:val="0"/>
          <w:sz w:val="24"/>
          <w:szCs w:val="24"/>
        </w:rPr>
      </w:pPr>
    </w:p>
    <w:p w14:paraId="4A56E2ED">
      <w:pPr>
        <w:pStyle w:val="85"/>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 xml:space="preserve">8.1.6 Efetuar o pagamento ao </w:t>
      </w:r>
      <w:r>
        <w:rPr>
          <w:rFonts w:ascii="Times New Roman" w:hAnsi="Times New Roman" w:cs="Times New Roman"/>
          <w:sz w:val="24"/>
          <w:szCs w:val="24"/>
        </w:rPr>
        <w:t>CONTRATADO</w:t>
      </w:r>
      <w:r>
        <w:rPr>
          <w:rFonts w:ascii="Times New Roman" w:hAnsi="Times New Roman" w:cs="Times New Roman"/>
          <w:b w:val="0"/>
          <w:bCs w:val="0"/>
          <w:sz w:val="24"/>
          <w:szCs w:val="24"/>
        </w:rPr>
        <w:t xml:space="preserve"> do valor correspondente ao fornecimento do objeto, no prazo, forma e condições estabelecidos no presente Contrato.</w:t>
      </w:r>
    </w:p>
    <w:p w14:paraId="024C87E7">
      <w:pPr>
        <w:pStyle w:val="85"/>
        <w:spacing w:before="0" w:line="288" w:lineRule="auto"/>
        <w:ind w:left="0" w:firstLine="0"/>
        <w:contextualSpacing/>
        <w:rPr>
          <w:rFonts w:ascii="Times New Roman" w:hAnsi="Times New Roman" w:cs="Times New Roman"/>
          <w:b w:val="0"/>
          <w:bCs w:val="0"/>
          <w:sz w:val="24"/>
          <w:szCs w:val="24"/>
        </w:rPr>
      </w:pPr>
    </w:p>
    <w:p w14:paraId="4D064850">
      <w:pPr>
        <w:pStyle w:val="85"/>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 xml:space="preserve">8.1.7 Aplicar ao </w:t>
      </w:r>
      <w:r>
        <w:rPr>
          <w:rFonts w:ascii="Times New Roman" w:hAnsi="Times New Roman" w:cs="Times New Roman"/>
          <w:sz w:val="24"/>
          <w:szCs w:val="24"/>
        </w:rPr>
        <w:t>CONTRATADO</w:t>
      </w:r>
      <w:r>
        <w:rPr>
          <w:rFonts w:ascii="Times New Roman" w:hAnsi="Times New Roman" w:cs="Times New Roman"/>
          <w:b w:val="0"/>
          <w:bCs w:val="0"/>
          <w:sz w:val="24"/>
          <w:szCs w:val="24"/>
        </w:rPr>
        <w:t xml:space="preserve"> sanções motivadas pela inexecução total ou parcial das obrigações contratuais, na forma prevista na lei e neste Contrato.</w:t>
      </w:r>
    </w:p>
    <w:p w14:paraId="05110307">
      <w:pPr>
        <w:pStyle w:val="83"/>
        <w:spacing w:before="0" w:after="0" w:line="288" w:lineRule="auto"/>
        <w:ind w:left="0" w:firstLine="0"/>
        <w:contextualSpacing/>
        <w:rPr>
          <w:rFonts w:ascii="Times New Roman" w:hAnsi="Times New Roman" w:cs="Times New Roman"/>
          <w:sz w:val="24"/>
          <w:szCs w:val="24"/>
        </w:rPr>
      </w:pPr>
    </w:p>
    <w:p w14:paraId="78ADE57A">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8.1.8 Dar ciência à Assessoria Jurídica do órgão ou entidade para as providências junto à Procuradoria Geral do Município, com vistas à adoção de eventuais medidas judiciais, em caso de descumprimento de obrigações pelo </w:t>
      </w:r>
      <w:r>
        <w:rPr>
          <w:rFonts w:ascii="Times New Roman" w:hAnsi="Times New Roman" w:cs="Times New Roman"/>
          <w:b/>
          <w:bCs/>
          <w:sz w:val="24"/>
          <w:szCs w:val="24"/>
        </w:rPr>
        <w:t>CONTRATADO</w:t>
      </w:r>
      <w:r>
        <w:rPr>
          <w:rFonts w:ascii="Times New Roman" w:hAnsi="Times New Roman" w:cs="Times New Roman"/>
          <w:sz w:val="24"/>
          <w:szCs w:val="24"/>
        </w:rPr>
        <w:t>.</w:t>
      </w:r>
    </w:p>
    <w:p w14:paraId="42497387">
      <w:pPr>
        <w:pStyle w:val="83"/>
        <w:spacing w:before="0" w:after="0" w:line="288" w:lineRule="auto"/>
        <w:ind w:left="0" w:firstLine="0"/>
        <w:contextualSpacing/>
        <w:rPr>
          <w:rFonts w:ascii="Times New Roman" w:hAnsi="Times New Roman" w:cs="Times New Roman"/>
          <w:sz w:val="24"/>
          <w:szCs w:val="24"/>
        </w:rPr>
      </w:pPr>
    </w:p>
    <w:p w14:paraId="16E1E5C6">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8.1.9 Emitir decisão fundamentada sobre todas as solicitações e reclamações relacionadas à execução do presente Contrato, ressalvados os requerimentos manifestamente impertinentes, meramente protelatórios ou de nenhum interesse para a boa execução do ajuste.</w:t>
      </w:r>
    </w:p>
    <w:p w14:paraId="7338ADB3">
      <w:pPr>
        <w:pStyle w:val="83"/>
        <w:spacing w:before="0" w:after="0" w:line="288" w:lineRule="auto"/>
        <w:ind w:left="0" w:firstLine="0"/>
        <w:contextualSpacing/>
        <w:rPr>
          <w:rFonts w:ascii="Times New Roman" w:hAnsi="Times New Roman" w:cs="Times New Roman"/>
          <w:sz w:val="24"/>
          <w:szCs w:val="24"/>
        </w:rPr>
      </w:pPr>
    </w:p>
    <w:p w14:paraId="606CA4E3">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8.1.9.1 O </w:t>
      </w:r>
      <w:r>
        <w:rPr>
          <w:rFonts w:ascii="Times New Roman" w:hAnsi="Times New Roman" w:cs="Times New Roman"/>
          <w:b/>
          <w:bCs/>
          <w:sz w:val="24"/>
          <w:szCs w:val="24"/>
        </w:rPr>
        <w:t>CONTRATANTE</w:t>
      </w:r>
      <w:r>
        <w:rPr>
          <w:rFonts w:ascii="Times New Roman" w:hAnsi="Times New Roman" w:cs="Times New Roman"/>
          <w:sz w:val="24"/>
          <w:szCs w:val="24"/>
        </w:rPr>
        <w:t xml:space="preserve"> terá o prazo de 1 (um) mês, a contar da data do protocolo do requerimento, para decidir, admitida a prorrogação motivada, por igual período. </w:t>
      </w:r>
    </w:p>
    <w:p w14:paraId="42FE71DB">
      <w:pPr>
        <w:pStyle w:val="83"/>
        <w:spacing w:before="0" w:after="0" w:line="288" w:lineRule="auto"/>
        <w:ind w:left="0" w:firstLine="0"/>
        <w:contextualSpacing/>
        <w:rPr>
          <w:rFonts w:ascii="Times New Roman" w:hAnsi="Times New Roman" w:cs="Times New Roman"/>
          <w:sz w:val="24"/>
          <w:szCs w:val="24"/>
        </w:rPr>
      </w:pPr>
    </w:p>
    <w:p w14:paraId="3662ACC9">
      <w:pPr>
        <w:pStyle w:val="83"/>
        <w:spacing w:before="0" w:after="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sz w:val="24"/>
          <w:szCs w:val="24"/>
        </w:rPr>
        <w:t xml:space="preserve">8.1.10 Responder aos eventuais pedidos de reestabelecimento do equilíbrio econômico-financeiro feitos pelo </w:t>
      </w:r>
      <w:r>
        <w:rPr>
          <w:rFonts w:ascii="Times New Roman" w:hAnsi="Times New Roman" w:cs="Times New Roman"/>
          <w:b/>
          <w:bCs/>
          <w:sz w:val="24"/>
          <w:szCs w:val="24"/>
        </w:rPr>
        <w:t>CONTRATADO</w:t>
      </w:r>
      <w:r>
        <w:rPr>
          <w:rFonts w:ascii="Times New Roman" w:hAnsi="Times New Roman" w:cs="Times New Roman"/>
          <w:sz w:val="24"/>
          <w:szCs w:val="24"/>
        </w:rPr>
        <w:t xml:space="preserve"> no prazo máximo de </w:t>
      </w:r>
      <w:r>
        <w:rPr>
          <w:rFonts w:ascii="Times New Roman" w:hAnsi="Times New Roman" w:cs="Times New Roman"/>
          <w:color w:val="000000" w:themeColor="text1"/>
          <w:sz w:val="24"/>
          <w:szCs w:val="24"/>
          <w14:textFill>
            <w14:solidFill>
              <w14:schemeClr w14:val="tx1"/>
            </w14:solidFill>
          </w14:textFill>
        </w:rPr>
        <w:t>45 (quarenta e cinco) dias, admitida a prorrogação motivada, por uma única vez, por igual período.</w:t>
      </w:r>
    </w:p>
    <w:p w14:paraId="028B66C7">
      <w:pPr>
        <w:pStyle w:val="83"/>
        <w:spacing w:before="0" w:after="0" w:line="288" w:lineRule="auto"/>
        <w:ind w:left="0" w:firstLine="0"/>
        <w:contextualSpacing/>
        <w:rPr>
          <w:rFonts w:ascii="Times New Roman" w:hAnsi="Times New Roman" w:cs="Times New Roman"/>
          <w:color w:val="FF0000"/>
          <w:sz w:val="24"/>
          <w:szCs w:val="24"/>
        </w:rPr>
      </w:pPr>
    </w:p>
    <w:p w14:paraId="38F285E8">
      <w:pPr>
        <w:pStyle w:val="83"/>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8.1.11 Notificar os emitentes das garantias quanto ao início de processo administrativo para apuração de descumprimento de cláusulas contratuais, na forma do art. 137, § 4º, da Lei nº 14.133/2021.</w:t>
      </w:r>
    </w:p>
    <w:p w14:paraId="4B07F62A">
      <w:pPr>
        <w:pStyle w:val="83"/>
        <w:spacing w:before="0" w:after="0" w:line="288" w:lineRule="auto"/>
        <w:ind w:left="0" w:firstLine="0"/>
        <w:contextualSpacing/>
        <w:rPr>
          <w:rFonts w:ascii="Times New Roman" w:hAnsi="Times New Roman" w:cs="Times New Roman"/>
          <w:sz w:val="24"/>
          <w:szCs w:val="24"/>
        </w:rPr>
      </w:pPr>
    </w:p>
    <w:p w14:paraId="0B7B94C9">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8.1.12 A Administração não responderá por quaisquer compromissos assumidos pelo </w:t>
      </w:r>
      <w:r>
        <w:rPr>
          <w:rFonts w:ascii="Times New Roman" w:hAnsi="Times New Roman" w:cs="Times New Roman"/>
          <w:b/>
          <w:bCs/>
          <w:sz w:val="24"/>
          <w:szCs w:val="24"/>
        </w:rPr>
        <w:t>CONTRATADO</w:t>
      </w:r>
      <w:r>
        <w:rPr>
          <w:rFonts w:ascii="Times New Roman" w:hAnsi="Times New Roman" w:cs="Times New Roman"/>
          <w:sz w:val="24"/>
          <w:szCs w:val="24"/>
        </w:rPr>
        <w:t xml:space="preserve"> perante terceiros, ainda que vinculados à execução do Contrato, bem como por qualquer dano causado a terceiros em decorrência de ato do </w:t>
      </w:r>
      <w:r>
        <w:rPr>
          <w:rFonts w:ascii="Times New Roman" w:hAnsi="Times New Roman" w:cs="Times New Roman"/>
          <w:b/>
          <w:bCs/>
          <w:sz w:val="24"/>
          <w:szCs w:val="24"/>
        </w:rPr>
        <w:t>CONTRATADO</w:t>
      </w:r>
      <w:r>
        <w:rPr>
          <w:rFonts w:ascii="Times New Roman" w:hAnsi="Times New Roman" w:cs="Times New Roman"/>
          <w:sz w:val="24"/>
          <w:szCs w:val="24"/>
        </w:rPr>
        <w:t>, de seus empregados, prepostos ou subordinados.</w:t>
      </w:r>
    </w:p>
    <w:p w14:paraId="1F07893C">
      <w:pPr>
        <w:spacing w:line="288" w:lineRule="auto"/>
        <w:contextualSpacing/>
        <w:jc w:val="both"/>
        <w:rPr>
          <w:sz w:val="24"/>
          <w:szCs w:val="24"/>
        </w:rPr>
      </w:pPr>
    </w:p>
    <w:p w14:paraId="7F288EB2">
      <w:pPr>
        <w:spacing w:line="288" w:lineRule="auto"/>
        <w:contextualSpacing/>
        <w:jc w:val="both"/>
        <w:rPr>
          <w:sz w:val="24"/>
          <w:szCs w:val="24"/>
        </w:rPr>
      </w:pPr>
      <w:r>
        <w:rPr>
          <w:sz w:val="24"/>
          <w:szCs w:val="24"/>
        </w:rPr>
        <w:t xml:space="preserve">8.1.13 O presente Contrato não configura vínculo empregatício entre os trabalhadores ou sócios do </w:t>
      </w:r>
      <w:r>
        <w:rPr>
          <w:b/>
          <w:bCs/>
          <w:sz w:val="24"/>
          <w:szCs w:val="24"/>
        </w:rPr>
        <w:t>CONTRATADO</w:t>
      </w:r>
      <w:r>
        <w:rPr>
          <w:sz w:val="24"/>
          <w:szCs w:val="24"/>
        </w:rPr>
        <w:t xml:space="preserve"> e o </w:t>
      </w:r>
      <w:r>
        <w:rPr>
          <w:b/>
          <w:bCs/>
          <w:sz w:val="24"/>
          <w:szCs w:val="24"/>
        </w:rPr>
        <w:t>CONTRATANTE</w:t>
      </w:r>
      <w:r>
        <w:rPr>
          <w:sz w:val="24"/>
          <w:szCs w:val="24"/>
        </w:rPr>
        <w:t>.</w:t>
      </w:r>
    </w:p>
    <w:p w14:paraId="51F742F1">
      <w:pPr>
        <w:spacing w:line="288" w:lineRule="auto"/>
        <w:contextualSpacing/>
        <w:jc w:val="both"/>
        <w:rPr>
          <w:sz w:val="24"/>
          <w:szCs w:val="24"/>
        </w:rPr>
      </w:pPr>
    </w:p>
    <w:p w14:paraId="15CFF032">
      <w:pPr>
        <w:pStyle w:val="85"/>
        <w:spacing w:before="0" w:line="288" w:lineRule="auto"/>
        <w:ind w:left="0" w:firstLine="0"/>
        <w:contextualSpacing/>
        <w:rPr>
          <w:rStyle w:val="14"/>
          <w:rFonts w:ascii="Times New Roman" w:hAnsi="Times New Roman" w:cs="Times New Roman" w:eastAsiaTheme="minorHAnsi"/>
          <w:b w:val="0"/>
          <w:bCs w:val="0"/>
          <w:sz w:val="24"/>
          <w:szCs w:val="24"/>
        </w:rPr>
      </w:pPr>
      <w:r>
        <w:rPr>
          <w:rFonts w:ascii="Times New Roman" w:hAnsi="Times New Roman" w:cs="Times New Roman"/>
          <w:sz w:val="24"/>
          <w:szCs w:val="24"/>
        </w:rPr>
        <w:t xml:space="preserve">CLÁUSULA NONA – OBRIGAÇÕES DO CONTRATADO </w:t>
      </w:r>
    </w:p>
    <w:p w14:paraId="653E5D11">
      <w:pPr>
        <w:spacing w:line="288" w:lineRule="auto"/>
        <w:contextualSpacing/>
        <w:rPr>
          <w:sz w:val="24"/>
          <w:szCs w:val="24"/>
        </w:rPr>
      </w:pPr>
    </w:p>
    <w:p w14:paraId="24854A24">
      <w:pPr>
        <w:pStyle w:val="85"/>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 xml:space="preserve">9.1 O </w:t>
      </w:r>
      <w:r>
        <w:rPr>
          <w:rFonts w:ascii="Times New Roman" w:hAnsi="Times New Roman" w:cs="Times New Roman"/>
          <w:sz w:val="24"/>
          <w:szCs w:val="24"/>
        </w:rPr>
        <w:t>CONTRATADO</w:t>
      </w:r>
      <w:r>
        <w:rPr>
          <w:rFonts w:ascii="Times New Roman" w:hAnsi="Times New Roman" w:cs="Times New Roman"/>
          <w:b w:val="0"/>
          <w:bCs w:val="0"/>
          <w:sz w:val="24"/>
          <w:szCs w:val="24"/>
        </w:rPr>
        <w:t xml:space="preserve"> deverá cumprir todas as obrigações constantes deste Contrato e em seus Anexos, assumindo como exclusivamente seus os riscos e as despesas decorrentes da boa e perfeita execução do objeto, observando, ainda, as obrigações a seguir dispostas:</w:t>
      </w:r>
    </w:p>
    <w:p w14:paraId="287A0F50">
      <w:pPr>
        <w:pStyle w:val="85"/>
        <w:spacing w:before="0" w:line="288" w:lineRule="auto"/>
        <w:ind w:left="0" w:firstLine="0"/>
        <w:contextualSpacing/>
        <w:rPr>
          <w:rFonts w:ascii="Times New Roman" w:hAnsi="Times New Roman" w:cs="Times New Roman"/>
          <w:b w:val="0"/>
          <w:bCs w:val="0"/>
          <w:sz w:val="24"/>
          <w:szCs w:val="24"/>
        </w:rPr>
      </w:pPr>
    </w:p>
    <w:p w14:paraId="6DAA276F">
      <w:pPr>
        <w:pStyle w:val="85"/>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9.1.1 Entregar o objeto acompanhado, se for o caso, do manual do usuário, com uma versão em português, e da relação da rede de assistência técnica autorizada.</w:t>
      </w:r>
    </w:p>
    <w:p w14:paraId="33B7B015">
      <w:pPr>
        <w:pStyle w:val="83"/>
        <w:spacing w:before="0" w:after="0" w:line="288" w:lineRule="auto"/>
        <w:ind w:left="0" w:firstLine="0"/>
        <w:contextualSpacing/>
        <w:rPr>
          <w:rFonts w:ascii="Times New Roman" w:hAnsi="Times New Roman" w:cs="Times New Roman"/>
          <w:sz w:val="24"/>
          <w:szCs w:val="24"/>
        </w:rPr>
      </w:pPr>
    </w:p>
    <w:p w14:paraId="28EAD8B1">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9.1.2 Comunicar ao </w:t>
      </w:r>
      <w:r>
        <w:rPr>
          <w:rFonts w:ascii="Times New Roman" w:hAnsi="Times New Roman" w:cs="Times New Roman"/>
          <w:b/>
          <w:bCs/>
          <w:sz w:val="24"/>
          <w:szCs w:val="24"/>
        </w:rPr>
        <w:t>CONTRATANTE</w:t>
      </w:r>
      <w:r>
        <w:rPr>
          <w:rFonts w:ascii="Times New Roman" w:hAnsi="Times New Roman" w:cs="Times New Roman"/>
          <w:sz w:val="24"/>
          <w:szCs w:val="24"/>
        </w:rPr>
        <w:t>, no prazo máximo de 24 (vinte e quatro) horas que antecede a data da entrega, os motivos que impossibilitem o cumprimento do prazo previsto, com a devida comprovação.</w:t>
      </w:r>
    </w:p>
    <w:p w14:paraId="5487C794">
      <w:pPr>
        <w:pStyle w:val="83"/>
        <w:spacing w:before="0" w:after="0" w:line="288" w:lineRule="auto"/>
        <w:ind w:left="0" w:firstLine="0"/>
        <w:contextualSpacing/>
        <w:rPr>
          <w:rFonts w:ascii="Times New Roman" w:hAnsi="Times New Roman" w:cs="Times New Roman"/>
          <w:sz w:val="24"/>
          <w:szCs w:val="24"/>
        </w:rPr>
      </w:pPr>
    </w:p>
    <w:p w14:paraId="78006B54">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9.1.3 Atender às determinações regulares emitidas pelo fiscal ou gestor do Contrato ou autoridade superior </w:t>
      </w:r>
      <w:r>
        <w:rPr>
          <w:rFonts w:ascii="Times New Roman" w:hAnsi="Times New Roman" w:cs="Times New Roman"/>
          <w:color w:val="auto"/>
          <w:sz w:val="24"/>
          <w:szCs w:val="24"/>
        </w:rPr>
        <w:t>(</w:t>
      </w:r>
      <w:r>
        <w:fldChar w:fldCharType="begin"/>
      </w:r>
      <w:r>
        <w:instrText xml:space="preserve"> HYPERLINK "http://www.planalto.gov.br/ccivil_03/_ato2019-2022/2021/lei/L14133.htm" \l "art137" </w:instrText>
      </w:r>
      <w:r>
        <w:fldChar w:fldCharType="separate"/>
      </w:r>
      <w:r>
        <w:rPr>
          <w:rStyle w:val="14"/>
          <w:rFonts w:ascii="Times New Roman" w:hAnsi="Times New Roman" w:cs="Times New Roman" w:eastAsiaTheme="minorHAnsi"/>
          <w:color w:val="auto"/>
          <w:sz w:val="24"/>
          <w:szCs w:val="24"/>
        </w:rPr>
        <w:t>art. 137, II, da Lei nº 14.133/2021</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r>
        <w:rPr>
          <w:rFonts w:ascii="Times New Roman" w:hAnsi="Times New Roman" w:cs="Times New Roman"/>
          <w:sz w:val="24"/>
          <w:szCs w:val="24"/>
        </w:rPr>
        <w:t xml:space="preserve"> e prestar todo esclarecimento ou informação por eles solicitados.</w:t>
      </w:r>
    </w:p>
    <w:p w14:paraId="43226B4E">
      <w:pPr>
        <w:pStyle w:val="91"/>
        <w:numPr>
          <w:ilvl w:val="0"/>
          <w:numId w:val="0"/>
        </w:numPr>
        <w:spacing w:before="0" w:after="0" w:line="288" w:lineRule="auto"/>
        <w:contextualSpacing/>
        <w:rPr>
          <w:rFonts w:ascii="Times New Roman" w:hAnsi="Times New Roman" w:cs="Times New Roman"/>
          <w:i w:val="0"/>
          <w:iCs w:val="0"/>
          <w:color w:val="auto"/>
          <w:sz w:val="24"/>
          <w:szCs w:val="24"/>
        </w:rPr>
      </w:pPr>
    </w:p>
    <w:p w14:paraId="1A7B577F">
      <w:pPr>
        <w:pStyle w:val="91"/>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9.1.4 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14:paraId="08D8538B">
      <w:pPr>
        <w:pStyle w:val="83"/>
        <w:spacing w:before="0" w:after="0" w:line="288" w:lineRule="auto"/>
        <w:ind w:left="0" w:firstLine="0"/>
        <w:contextualSpacing/>
        <w:rPr>
          <w:rFonts w:ascii="Times New Roman" w:hAnsi="Times New Roman" w:cs="Times New Roman"/>
          <w:sz w:val="24"/>
          <w:szCs w:val="24"/>
        </w:rPr>
      </w:pPr>
    </w:p>
    <w:p w14:paraId="6E09BC02">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9.1.5 Reparar, corrigir, remover, reconstruir ou substituir, às suas expensas, no total ou em parte, no prazo fixado pelo fiscal do Contrato, os bens nos quais se verificarem vícios, defeitos ou incorreções resultantes da execução ou dos materiais empregados.</w:t>
      </w:r>
    </w:p>
    <w:p w14:paraId="067E81A1">
      <w:pPr>
        <w:pStyle w:val="83"/>
        <w:spacing w:before="0" w:after="0" w:line="288" w:lineRule="auto"/>
        <w:ind w:left="0" w:firstLine="0"/>
        <w:contextualSpacing/>
        <w:rPr>
          <w:rFonts w:ascii="Times New Roman" w:hAnsi="Times New Roman" w:cs="Times New Roman"/>
          <w:sz w:val="24"/>
          <w:szCs w:val="24"/>
        </w:rPr>
      </w:pPr>
    </w:p>
    <w:p w14:paraId="3E3FBC5B">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9.1.6 Responsabilizar-se pelos vícios e danos decorrentes do objeto, de acordo com o Código de Defesa do Consumidor (</w:t>
      </w:r>
      <w:r>
        <w:fldChar w:fldCharType="begin"/>
      </w:r>
      <w:r>
        <w:instrText xml:space="preserve"> HYPERLINK "https://www.planalto.gov.br/ccivil_03/leis/l8078compilado.htm" </w:instrText>
      </w:r>
      <w:r>
        <w:fldChar w:fldCharType="separate"/>
      </w:r>
      <w:r>
        <w:rPr>
          <w:rStyle w:val="14"/>
          <w:rFonts w:ascii="Times New Roman" w:hAnsi="Times New Roman" w:cs="Times New Roman" w:eastAsiaTheme="minorHAnsi"/>
          <w:color w:val="auto"/>
          <w:sz w:val="24"/>
          <w:szCs w:val="24"/>
        </w:rPr>
        <w:t>Lei nº 8.078/1990</w:t>
      </w:r>
      <w:r>
        <w:rPr>
          <w:rStyle w:val="14"/>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xml:space="preserve">), bem como por todo e qualquer dano causado à Administração ou terceiros, não reduzindo essa responsabilidade a fiscalização ou o acompanhamento da execução contratual pelo </w:t>
      </w:r>
      <w:r>
        <w:rPr>
          <w:rFonts w:ascii="Times New Roman" w:hAnsi="Times New Roman" w:cs="Times New Roman"/>
          <w:b/>
          <w:bCs/>
          <w:sz w:val="24"/>
          <w:szCs w:val="24"/>
        </w:rPr>
        <w:t>CONTRATANTE</w:t>
      </w:r>
      <w:r>
        <w:rPr>
          <w:rFonts w:ascii="Times New Roman" w:hAnsi="Times New Roman" w:cs="Times New Roman"/>
          <w:sz w:val="24"/>
          <w:szCs w:val="24"/>
        </w:rPr>
        <w:t>, que ficará autorizado a descontar dos pagamentos devidos ou da garantia o valor correspondente aos danos sofridos.</w:t>
      </w:r>
    </w:p>
    <w:p w14:paraId="2E29B1BF">
      <w:pPr>
        <w:pStyle w:val="83"/>
        <w:spacing w:before="0" w:after="0" w:line="288" w:lineRule="auto"/>
        <w:ind w:left="0" w:firstLine="0"/>
        <w:contextualSpacing/>
        <w:rPr>
          <w:rFonts w:ascii="Times New Roman" w:hAnsi="Times New Roman" w:cs="Times New Roman"/>
          <w:sz w:val="24"/>
          <w:szCs w:val="24"/>
        </w:rPr>
      </w:pPr>
    </w:p>
    <w:p w14:paraId="1094B931">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9.1.7 Não contratar, durante a vigência do Contrato, cônjuge, companheiro ou parente em linha reta, colateral ou por afinidade, até o terceiro grau, de dirigente do </w:t>
      </w:r>
      <w:r>
        <w:rPr>
          <w:rFonts w:ascii="Times New Roman" w:hAnsi="Times New Roman" w:cs="Times New Roman"/>
          <w:b/>
          <w:bCs/>
          <w:sz w:val="24"/>
          <w:szCs w:val="24"/>
        </w:rPr>
        <w:t>CONTRATANTE</w:t>
      </w:r>
      <w:r>
        <w:rPr>
          <w:rFonts w:ascii="Times New Roman" w:hAnsi="Times New Roman" w:cs="Times New Roman"/>
          <w:sz w:val="24"/>
          <w:szCs w:val="24"/>
        </w:rPr>
        <w:t xml:space="preserve"> ou de agente público que atue na fiscalização ou na gestão do Contrato, nos termos do art. 48, parágrafo único, da Lei nº 14.133/2021.</w:t>
      </w:r>
    </w:p>
    <w:p w14:paraId="3491473F">
      <w:pPr>
        <w:pStyle w:val="83"/>
        <w:spacing w:before="0" w:after="0" w:line="288" w:lineRule="auto"/>
        <w:ind w:left="0" w:firstLine="0"/>
        <w:contextualSpacing/>
        <w:rPr>
          <w:rFonts w:ascii="Times New Roman" w:hAnsi="Times New Roman" w:cs="Times New Roman"/>
          <w:sz w:val="24"/>
          <w:szCs w:val="24"/>
        </w:rPr>
      </w:pPr>
    </w:p>
    <w:p w14:paraId="44670970">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9.1.8 Manter a regularidade junto ao SICAF.</w:t>
      </w:r>
    </w:p>
    <w:p w14:paraId="3FE1E774">
      <w:pPr>
        <w:pStyle w:val="83"/>
        <w:spacing w:before="0" w:after="0" w:line="288" w:lineRule="auto"/>
        <w:ind w:left="0" w:firstLine="0"/>
        <w:contextualSpacing/>
        <w:rPr>
          <w:rFonts w:ascii="Times New Roman" w:hAnsi="Times New Roman" w:cs="Times New Roman"/>
          <w:sz w:val="24"/>
          <w:szCs w:val="24"/>
        </w:rPr>
      </w:pPr>
    </w:p>
    <w:p w14:paraId="587917D8">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9.1.8.1 Quando não for possível a verificação da regularidade no Sistema de Cadastro de Fornecedores – SICAF, o </w:t>
      </w:r>
      <w:r>
        <w:rPr>
          <w:rFonts w:ascii="Times New Roman" w:hAnsi="Times New Roman" w:cs="Times New Roman"/>
          <w:b/>
          <w:bCs/>
          <w:sz w:val="24"/>
          <w:szCs w:val="24"/>
        </w:rPr>
        <w:t>CONTRATADO</w:t>
      </w:r>
      <w:r>
        <w:rPr>
          <w:rFonts w:ascii="Times New Roman" w:hAnsi="Times New Roman" w:cs="Times New Roman"/>
          <w:sz w:val="24"/>
          <w:szCs w:val="24"/>
        </w:rPr>
        <w:t xml:space="preserve"> deverá entregar ao setor responsável pela fiscalização do Contrato, junto com a Nota Fiscal para fins de pagamento, os seguintes documentos:</w:t>
      </w:r>
    </w:p>
    <w:p w14:paraId="389496FB">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prova de regularidade relativa à Seguridade Social;</w:t>
      </w:r>
    </w:p>
    <w:p w14:paraId="3770E909">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b) certidão conjunta relativa aos tributos federais e à Dívida Ativa da União;</w:t>
      </w:r>
    </w:p>
    <w:p w14:paraId="01A8CD8C">
      <w:pPr>
        <w:pStyle w:val="83"/>
        <w:spacing w:before="0" w:after="0" w:line="288" w:lineRule="auto"/>
        <w:ind w:left="0" w:firstLine="0"/>
        <w:contextualSpacing/>
        <w:rPr>
          <w:rFonts w:ascii="Times New Roman" w:hAnsi="Times New Roman" w:cs="Times New Roman"/>
          <w:iCs/>
          <w:sz w:val="24"/>
          <w:szCs w:val="24"/>
        </w:rPr>
      </w:pPr>
      <w:r>
        <w:rPr>
          <w:rFonts w:ascii="Times New Roman" w:hAnsi="Times New Roman" w:cs="Times New Roman"/>
          <w:iCs/>
          <w:sz w:val="24"/>
          <w:szCs w:val="24"/>
        </w:rPr>
        <w:t xml:space="preserve">c) certidões que comprovem a regularidade perante as Fazendas do domicílio ou sede do </w:t>
      </w:r>
      <w:r>
        <w:rPr>
          <w:rFonts w:ascii="Times New Roman" w:hAnsi="Times New Roman" w:cs="Times New Roman"/>
          <w:b/>
          <w:bCs/>
          <w:sz w:val="24"/>
          <w:szCs w:val="24"/>
        </w:rPr>
        <w:t>CONTRATADO</w:t>
      </w:r>
      <w:r>
        <w:rPr>
          <w:rFonts w:ascii="Times New Roman" w:hAnsi="Times New Roman" w:cs="Times New Roman"/>
          <w:iCs/>
          <w:sz w:val="24"/>
          <w:szCs w:val="24"/>
        </w:rPr>
        <w:t xml:space="preserve">, na mesma forma exigida no Edital ou Aviso de Contratação Direta; </w:t>
      </w:r>
    </w:p>
    <w:p w14:paraId="43E22E14">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d) Certificado de Regularidade do FGTS; e</w:t>
      </w:r>
    </w:p>
    <w:p w14:paraId="570E9446">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e) Certidão Negativa de Débitos Trabalhistas – CNDT. </w:t>
      </w:r>
    </w:p>
    <w:p w14:paraId="655B3305">
      <w:pPr>
        <w:pStyle w:val="83"/>
        <w:spacing w:before="0" w:after="0" w:line="288" w:lineRule="auto"/>
        <w:ind w:left="0" w:firstLine="0"/>
        <w:contextualSpacing/>
        <w:rPr>
          <w:rFonts w:ascii="Times New Roman" w:hAnsi="Times New Roman" w:cs="Times New Roman"/>
          <w:sz w:val="24"/>
          <w:szCs w:val="24"/>
        </w:rPr>
      </w:pPr>
    </w:p>
    <w:p w14:paraId="76C12EBD">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9.1.9 Responsabilizar-se pelo cumprimento de todas as obrigações trabalhistas, previdenciárias, fiscais, comerciais e as demais previstas em legislação específica, cuja inadimplência não transfere a responsabilidade ao </w:t>
      </w:r>
      <w:r>
        <w:rPr>
          <w:rFonts w:ascii="Times New Roman" w:hAnsi="Times New Roman" w:cs="Times New Roman"/>
          <w:b/>
          <w:bCs/>
          <w:sz w:val="24"/>
          <w:szCs w:val="24"/>
        </w:rPr>
        <w:t>CONTRATANTE</w:t>
      </w:r>
      <w:r>
        <w:rPr>
          <w:rFonts w:ascii="Times New Roman" w:hAnsi="Times New Roman" w:cs="Times New Roman"/>
          <w:sz w:val="24"/>
          <w:szCs w:val="24"/>
        </w:rPr>
        <w:t xml:space="preserve"> e não poderá onerar o objeto do Contrato.</w:t>
      </w:r>
    </w:p>
    <w:p w14:paraId="6C2B0663">
      <w:pPr>
        <w:pStyle w:val="83"/>
        <w:spacing w:before="0" w:after="0" w:line="288" w:lineRule="auto"/>
        <w:ind w:left="0" w:firstLine="0"/>
        <w:contextualSpacing/>
        <w:rPr>
          <w:rFonts w:ascii="Times New Roman" w:hAnsi="Times New Roman" w:cs="Times New Roman"/>
          <w:sz w:val="24"/>
          <w:szCs w:val="24"/>
        </w:rPr>
      </w:pPr>
    </w:p>
    <w:p w14:paraId="49A0FC60">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9.1.10 Comunicar ao Fiscal do Contrato, no prazo de 24 (vinte e quatro) horas, qualquer ocorrência anormal ou acidente que se verifique no local da execução do objeto contratual.</w:t>
      </w:r>
    </w:p>
    <w:p w14:paraId="3FFEC4D1">
      <w:pPr>
        <w:pStyle w:val="83"/>
        <w:spacing w:before="0" w:after="0" w:line="288" w:lineRule="auto"/>
        <w:ind w:left="0" w:firstLine="0"/>
        <w:contextualSpacing/>
        <w:rPr>
          <w:rFonts w:ascii="Times New Roman" w:hAnsi="Times New Roman" w:cs="Times New Roman"/>
          <w:sz w:val="24"/>
          <w:szCs w:val="24"/>
        </w:rPr>
      </w:pPr>
    </w:p>
    <w:p w14:paraId="2BD16CE1">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9.1.11 Paralisar, por determinação do </w:t>
      </w:r>
      <w:r>
        <w:rPr>
          <w:rFonts w:ascii="Times New Roman" w:hAnsi="Times New Roman" w:cs="Times New Roman"/>
          <w:b/>
          <w:bCs/>
          <w:sz w:val="24"/>
          <w:szCs w:val="24"/>
        </w:rPr>
        <w:t>CONTRATANTE</w:t>
      </w:r>
      <w:r>
        <w:rPr>
          <w:rFonts w:ascii="Times New Roman" w:hAnsi="Times New Roman" w:cs="Times New Roman"/>
          <w:sz w:val="24"/>
          <w:szCs w:val="24"/>
        </w:rPr>
        <w:t>, qualquer atividade que não esteja sendo executada de acordo com a boa técnica ou que ponha em risco a segurança de pessoas ou bens de terceiros.</w:t>
      </w:r>
    </w:p>
    <w:p w14:paraId="1C4ABD3F">
      <w:pPr>
        <w:pStyle w:val="91"/>
        <w:numPr>
          <w:ilvl w:val="0"/>
          <w:numId w:val="0"/>
        </w:numPr>
        <w:spacing w:before="0" w:after="0" w:line="288" w:lineRule="auto"/>
        <w:contextualSpacing/>
        <w:rPr>
          <w:rFonts w:ascii="Times New Roman" w:hAnsi="Times New Roman" w:cs="Times New Roman"/>
          <w:i w:val="0"/>
          <w:iCs w:val="0"/>
          <w:color w:val="auto"/>
          <w:sz w:val="24"/>
          <w:szCs w:val="24"/>
        </w:rPr>
      </w:pPr>
    </w:p>
    <w:p w14:paraId="7A4AD4A1">
      <w:pPr>
        <w:pStyle w:val="91"/>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9.1.12 Conduzir os trabalhos com estrita observância às normas da legislação pertinente, cumprindo as determinações dos Poderes Públicos, mantendo sempre limpo o local d</w:t>
      </w:r>
      <w:r>
        <w:rPr>
          <w:rFonts w:ascii="Times New Roman" w:hAnsi="Times New Roman" w:cs="Times New Roman"/>
          <w:i w:val="0"/>
          <w:iCs w:val="0"/>
          <w:color w:val="auto"/>
          <w:sz w:val="24"/>
          <w:szCs w:val="24"/>
          <w:lang w:eastAsia="en-US"/>
        </w:rPr>
        <w:t>e execução do objeto</w:t>
      </w:r>
      <w:r>
        <w:rPr>
          <w:rFonts w:ascii="Times New Roman" w:hAnsi="Times New Roman" w:cs="Times New Roman"/>
          <w:i w:val="0"/>
          <w:iCs w:val="0"/>
          <w:color w:val="auto"/>
          <w:sz w:val="24"/>
          <w:szCs w:val="24"/>
        </w:rPr>
        <w:t xml:space="preserve"> e nas melhores condições de segurança, higiene e disciplina.</w:t>
      </w:r>
    </w:p>
    <w:p w14:paraId="23CC0DEA">
      <w:pPr>
        <w:pStyle w:val="91"/>
        <w:numPr>
          <w:ilvl w:val="0"/>
          <w:numId w:val="0"/>
        </w:numPr>
        <w:spacing w:before="0" w:after="0" w:line="288" w:lineRule="auto"/>
        <w:contextualSpacing/>
        <w:rPr>
          <w:rFonts w:ascii="Times New Roman" w:hAnsi="Times New Roman" w:cs="Times New Roman"/>
          <w:i w:val="0"/>
          <w:iCs w:val="0"/>
          <w:color w:val="auto"/>
          <w:sz w:val="24"/>
          <w:szCs w:val="24"/>
        </w:rPr>
      </w:pPr>
    </w:p>
    <w:p w14:paraId="663E935C">
      <w:pPr>
        <w:pStyle w:val="91"/>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9.1.13 Submeter previamente, por escrito, ao </w:t>
      </w:r>
      <w:r>
        <w:rPr>
          <w:rFonts w:ascii="Times New Roman" w:hAnsi="Times New Roman" w:cs="Times New Roman"/>
          <w:b/>
          <w:bCs/>
          <w:i w:val="0"/>
          <w:iCs w:val="0"/>
          <w:color w:val="auto"/>
          <w:sz w:val="24"/>
          <w:szCs w:val="24"/>
        </w:rPr>
        <w:t>CONTRATANTE</w:t>
      </w:r>
      <w:r>
        <w:rPr>
          <w:rFonts w:ascii="Times New Roman" w:hAnsi="Times New Roman" w:cs="Times New Roman"/>
          <w:i w:val="0"/>
          <w:iCs w:val="0"/>
          <w:color w:val="auto"/>
          <w:sz w:val="24"/>
          <w:szCs w:val="24"/>
        </w:rPr>
        <w:t>, para análise e aprovação, quaisquer mudanças nos métodos executivos que fujam às especificações do memorial descritivo ou instrumento congênere.</w:t>
      </w:r>
    </w:p>
    <w:p w14:paraId="09A829F6">
      <w:pPr>
        <w:pStyle w:val="91"/>
        <w:numPr>
          <w:ilvl w:val="0"/>
          <w:numId w:val="0"/>
        </w:numPr>
        <w:spacing w:before="0" w:after="0" w:line="288" w:lineRule="auto"/>
        <w:contextualSpacing/>
        <w:rPr>
          <w:rFonts w:ascii="Times New Roman" w:hAnsi="Times New Roman" w:cs="Times New Roman"/>
          <w:i w:val="0"/>
          <w:iCs w:val="0"/>
          <w:color w:val="auto"/>
          <w:sz w:val="24"/>
          <w:szCs w:val="24"/>
        </w:rPr>
      </w:pPr>
    </w:p>
    <w:p w14:paraId="135E674F">
      <w:pPr>
        <w:pStyle w:val="91"/>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9.1.14 Não permitir a utilização de qualquer trabalho do menor de dezesseis anos, exceto na condição de aprendiz para os maiores de quatorze anos, nem permitir a utilização do trabalho do menor de dezoito anos em trabalho noturno, perigoso ou insalubre, na forma do art. 7º, XXXIII, da Constituição Federal.</w:t>
      </w:r>
    </w:p>
    <w:p w14:paraId="27AE0A3B">
      <w:pPr>
        <w:pStyle w:val="83"/>
        <w:spacing w:before="0" w:after="0" w:line="288" w:lineRule="auto"/>
        <w:ind w:left="0" w:firstLine="0"/>
        <w:contextualSpacing/>
        <w:rPr>
          <w:rFonts w:ascii="Times New Roman" w:hAnsi="Times New Roman" w:cs="Times New Roman"/>
          <w:sz w:val="24"/>
          <w:szCs w:val="24"/>
        </w:rPr>
      </w:pPr>
    </w:p>
    <w:p w14:paraId="5ACB4CAD">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9.1.15 Manter durante toda a vigência do Contrato, em compatibilidade com as obrigações assumidas, todas as condições exigidas para habilitação na licitação.</w:t>
      </w:r>
    </w:p>
    <w:p w14:paraId="4449817B">
      <w:pPr>
        <w:pStyle w:val="83"/>
        <w:spacing w:before="0" w:after="0" w:line="288" w:lineRule="auto"/>
        <w:ind w:left="0" w:firstLine="0"/>
        <w:contextualSpacing/>
        <w:rPr>
          <w:rFonts w:ascii="Times New Roman" w:hAnsi="Times New Roman" w:cs="Times New Roman"/>
          <w:sz w:val="24"/>
          <w:szCs w:val="24"/>
        </w:rPr>
      </w:pPr>
    </w:p>
    <w:p w14:paraId="52F93675">
      <w:pPr>
        <w:pStyle w:val="83"/>
        <w:spacing w:before="0" w:after="0" w:line="288" w:lineRule="auto"/>
        <w:ind w:left="0" w:firstLine="0"/>
        <w:contextualSpacing/>
        <w:rPr>
          <w:rFonts w:ascii="Times New Roman" w:hAnsi="Times New Roman" w:cs="Times New Roman"/>
          <w:b/>
          <w:bCs/>
          <w:color w:val="auto"/>
          <w:sz w:val="24"/>
          <w:szCs w:val="24"/>
        </w:rPr>
      </w:pPr>
      <w:r>
        <w:rPr>
          <w:rFonts w:ascii="Times New Roman" w:hAnsi="Times New Roman" w:cs="Times New Roman"/>
          <w:sz w:val="24"/>
          <w:szCs w:val="24"/>
        </w:rPr>
        <w:t>9.1.16 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instrText xml:space="preserve"> HYPERLINK "http://www.planalto.gov.br/ccivil_03/_ato2019-2022/2021/lei/L14133.htm" \l "art116" </w:instrText>
      </w:r>
      <w:r>
        <w:fldChar w:fldCharType="separate"/>
      </w:r>
      <w:r>
        <w:rPr>
          <w:rStyle w:val="14"/>
          <w:rFonts w:ascii="Times New Roman" w:hAnsi="Times New Roman" w:cs="Times New Roman" w:eastAsiaTheme="minorHAnsi"/>
          <w:color w:val="auto"/>
          <w:sz w:val="24"/>
          <w:szCs w:val="24"/>
        </w:rPr>
        <w:t>art. 116 da Lei nº 14.133/2021</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3DAAFA20">
      <w:pPr>
        <w:pStyle w:val="83"/>
        <w:spacing w:before="0" w:after="0" w:line="288" w:lineRule="auto"/>
        <w:ind w:left="0" w:firstLine="0"/>
        <w:contextualSpacing/>
        <w:rPr>
          <w:rFonts w:ascii="Times New Roman" w:hAnsi="Times New Roman" w:cs="Times New Roman"/>
          <w:sz w:val="24"/>
          <w:szCs w:val="24"/>
        </w:rPr>
      </w:pPr>
    </w:p>
    <w:p w14:paraId="634A6C5F">
      <w:pPr>
        <w:pStyle w:val="83"/>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sz w:val="24"/>
          <w:szCs w:val="24"/>
        </w:rPr>
        <w:t>9</w:t>
      </w:r>
      <w:r>
        <w:rPr>
          <w:rFonts w:ascii="Times New Roman" w:hAnsi="Times New Roman" w:cs="Times New Roman"/>
          <w:b/>
          <w:bCs/>
          <w:sz w:val="24"/>
          <w:szCs w:val="24"/>
        </w:rPr>
        <w:t>.</w:t>
      </w:r>
      <w:r>
        <w:rPr>
          <w:rFonts w:ascii="Times New Roman" w:hAnsi="Times New Roman" w:cs="Times New Roman"/>
          <w:sz w:val="24"/>
          <w:szCs w:val="24"/>
        </w:rPr>
        <w:t>1.16.1</w:t>
      </w:r>
      <w:r>
        <w:rPr>
          <w:rFonts w:ascii="Times New Roman" w:hAnsi="Times New Roman" w:cs="Times New Roman"/>
          <w:b/>
          <w:bCs/>
          <w:sz w:val="24"/>
          <w:szCs w:val="24"/>
        </w:rPr>
        <w:t xml:space="preserve"> </w:t>
      </w:r>
      <w:r>
        <w:rPr>
          <w:rFonts w:ascii="Times New Roman" w:hAnsi="Times New Roman" w:cs="Times New Roman"/>
          <w:sz w:val="24"/>
          <w:szCs w:val="24"/>
        </w:rPr>
        <w:t>Comprovar a reserva de cargos a que se refere a cláusula acima, no prazo fixado pelo Fiscal do Contrato, com a indicação dos empregados que preencheram as referidas vagas (</w:t>
      </w:r>
      <w:r>
        <w:fldChar w:fldCharType="begin"/>
      </w:r>
      <w:r>
        <w:instrText xml:space="preserve"> HYPERLINK "http://www.planalto.gov.br/ccivil_03/_ato2019-2022/2021/lei/L14133.htm" \l "art116" </w:instrText>
      </w:r>
      <w:r>
        <w:fldChar w:fldCharType="separate"/>
      </w:r>
      <w:r>
        <w:rPr>
          <w:rStyle w:val="14"/>
          <w:rFonts w:ascii="Times New Roman" w:hAnsi="Times New Roman" w:cs="Times New Roman" w:eastAsiaTheme="minorHAnsi"/>
          <w:color w:val="auto"/>
          <w:sz w:val="24"/>
          <w:szCs w:val="24"/>
        </w:rPr>
        <w:t>art. 116, parágrafo único, da Lei nº 14.133/2021</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392C750B">
      <w:pPr>
        <w:pStyle w:val="83"/>
        <w:spacing w:before="0" w:after="0" w:line="288" w:lineRule="auto"/>
        <w:ind w:left="0" w:firstLine="0"/>
        <w:contextualSpacing/>
        <w:rPr>
          <w:rFonts w:ascii="Times New Roman" w:hAnsi="Times New Roman" w:cs="Times New Roman"/>
          <w:color w:val="auto"/>
          <w:sz w:val="24"/>
          <w:szCs w:val="24"/>
        </w:rPr>
      </w:pPr>
    </w:p>
    <w:p w14:paraId="7992FC7C">
      <w:pPr>
        <w:pStyle w:val="83"/>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9.1.16.2 No caso de aprendiz, a comprovação do cumprimento do art. 429 e seguintes da Consolidação das Leis do Trabalho se dará pela apresentação da certidão, expedida pelo Ministério do Trabalho e Emprego, sem prejuízo do item 9.1.16.1.</w:t>
      </w:r>
    </w:p>
    <w:p w14:paraId="16ED2AEB">
      <w:pPr>
        <w:pStyle w:val="83"/>
        <w:spacing w:before="0" w:after="0" w:line="288" w:lineRule="auto"/>
        <w:ind w:left="0" w:firstLine="0"/>
        <w:contextualSpacing/>
        <w:rPr>
          <w:rFonts w:ascii="Times New Roman" w:hAnsi="Times New Roman" w:cs="Times New Roman"/>
          <w:color w:val="auto"/>
          <w:sz w:val="24"/>
          <w:szCs w:val="24"/>
        </w:rPr>
      </w:pPr>
    </w:p>
    <w:p w14:paraId="2394353E">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9.1.17 </w:t>
      </w:r>
      <w:r>
        <w:rPr>
          <w:rFonts w:ascii="Times New Roman" w:hAnsi="Times New Roman" w:cs="Times New Roman"/>
          <w:sz w:val="24"/>
          <w:szCs w:val="24"/>
        </w:rPr>
        <w:t>Guardar sigilo sobre todas as informações obtidas em decorrência do cumprimento do Contrato.</w:t>
      </w:r>
    </w:p>
    <w:p w14:paraId="07CB4406">
      <w:pPr>
        <w:pStyle w:val="83"/>
        <w:spacing w:before="0" w:after="0" w:line="288" w:lineRule="auto"/>
        <w:ind w:left="0" w:firstLine="0"/>
        <w:contextualSpacing/>
        <w:rPr>
          <w:rFonts w:ascii="Times New Roman" w:hAnsi="Times New Roman" w:cs="Times New Roman"/>
          <w:sz w:val="24"/>
          <w:szCs w:val="24"/>
        </w:rPr>
      </w:pPr>
    </w:p>
    <w:p w14:paraId="1BFD4C02">
      <w:pPr>
        <w:pStyle w:val="83"/>
        <w:spacing w:before="0" w:after="0" w:line="288" w:lineRule="auto"/>
        <w:ind w:left="0" w:firstLine="0"/>
        <w:contextualSpacing/>
        <w:rPr>
          <w:rStyle w:val="14"/>
          <w:rFonts w:ascii="Times New Roman" w:hAnsi="Times New Roman" w:cs="Times New Roman" w:eastAsiaTheme="minorHAnsi"/>
          <w:sz w:val="24"/>
          <w:szCs w:val="24"/>
        </w:rPr>
      </w:pPr>
      <w:r>
        <w:rPr>
          <w:rFonts w:ascii="Times New Roman" w:hAnsi="Times New Roman" w:cs="Times New Roman"/>
          <w:sz w:val="24"/>
          <w:szCs w:val="24"/>
        </w:rPr>
        <w:t xml:space="preserve">9.1.18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do Contrato, exceto quando ocorrer algum dos eventos arrolados no </w:t>
      </w:r>
      <w:r>
        <w:fldChar w:fldCharType="begin"/>
      </w:r>
      <w:r>
        <w:instrText xml:space="preserve"> HYPERLINK "http://www.planalto.gov.br/ccivil_03/_ato2019-2022/2021/lei/L14133.htm" \l "art124" </w:instrText>
      </w:r>
      <w:r>
        <w:fldChar w:fldCharType="separate"/>
      </w:r>
      <w:r>
        <w:rPr>
          <w:rStyle w:val="14"/>
          <w:rFonts w:ascii="Times New Roman" w:hAnsi="Times New Roman" w:cs="Times New Roman" w:eastAsiaTheme="minorHAnsi"/>
          <w:color w:val="auto"/>
          <w:sz w:val="24"/>
          <w:szCs w:val="24"/>
        </w:rPr>
        <w:t>artigo 124, II, d, da Lei nº 14.133/2021.</w:t>
      </w:r>
      <w:r>
        <w:rPr>
          <w:rStyle w:val="14"/>
          <w:rFonts w:ascii="Times New Roman" w:hAnsi="Times New Roman" w:cs="Times New Roman" w:eastAsiaTheme="minorHAnsi"/>
          <w:color w:val="auto"/>
          <w:sz w:val="24"/>
          <w:szCs w:val="24"/>
        </w:rPr>
        <w:fldChar w:fldCharType="end"/>
      </w:r>
    </w:p>
    <w:p w14:paraId="5F59BA8C">
      <w:pPr>
        <w:pStyle w:val="83"/>
        <w:spacing w:before="0" w:after="0" w:line="288" w:lineRule="auto"/>
        <w:ind w:left="0" w:firstLine="0"/>
        <w:contextualSpacing/>
        <w:rPr>
          <w:rFonts w:ascii="Times New Roman" w:hAnsi="Times New Roman" w:cs="Times New Roman"/>
          <w:sz w:val="24"/>
          <w:szCs w:val="24"/>
        </w:rPr>
      </w:pPr>
    </w:p>
    <w:p w14:paraId="10567430">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9.1.19 Cumprir, além dos postulados legais vigentes de âmbito federal, estadual ou municipal, as normas de segurança do </w:t>
      </w:r>
      <w:r>
        <w:rPr>
          <w:rFonts w:ascii="Times New Roman" w:hAnsi="Times New Roman" w:cs="Times New Roman"/>
          <w:b/>
          <w:bCs/>
          <w:sz w:val="24"/>
          <w:szCs w:val="24"/>
        </w:rPr>
        <w:t>CONTRATANTE</w:t>
      </w:r>
      <w:r>
        <w:rPr>
          <w:rFonts w:ascii="Times New Roman" w:hAnsi="Times New Roman" w:cs="Times New Roman"/>
          <w:sz w:val="24"/>
          <w:szCs w:val="24"/>
        </w:rPr>
        <w:t>.</w:t>
      </w:r>
    </w:p>
    <w:p w14:paraId="5FB41B6B">
      <w:pPr>
        <w:pStyle w:val="83"/>
        <w:spacing w:before="0" w:after="0" w:line="288" w:lineRule="auto"/>
        <w:ind w:left="0" w:firstLine="0"/>
        <w:contextualSpacing/>
        <w:rPr>
          <w:rFonts w:ascii="Times New Roman" w:hAnsi="Times New Roman" w:cs="Times New Roman"/>
          <w:sz w:val="24"/>
          <w:szCs w:val="24"/>
        </w:rPr>
      </w:pPr>
    </w:p>
    <w:p w14:paraId="1B8CCABD">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9.1.20 Prestar esclarecimentos ou informações solicitadas pelo </w:t>
      </w:r>
      <w:r>
        <w:rPr>
          <w:rFonts w:ascii="Times New Roman" w:hAnsi="Times New Roman" w:cs="Times New Roman"/>
          <w:b/>
          <w:bCs/>
          <w:sz w:val="24"/>
          <w:szCs w:val="24"/>
        </w:rPr>
        <w:t>CONTRATANTE</w:t>
      </w:r>
      <w:r>
        <w:rPr>
          <w:rFonts w:ascii="Times New Roman" w:hAnsi="Times New Roman" w:cs="Times New Roman"/>
          <w:sz w:val="24"/>
          <w:szCs w:val="24"/>
        </w:rPr>
        <w:t xml:space="preserve"> ou por seus prepostos, garantindo-lhes o acesso, a qualquer tempo, ao local dos trabalhos, bem como aos documentos relativos à execução do empreendimento.</w:t>
      </w:r>
    </w:p>
    <w:p w14:paraId="034A7999">
      <w:pPr>
        <w:pStyle w:val="83"/>
        <w:spacing w:before="0" w:after="0" w:line="288" w:lineRule="auto"/>
        <w:ind w:left="0" w:firstLine="0"/>
        <w:contextualSpacing/>
        <w:rPr>
          <w:rFonts w:ascii="Times New Roman" w:hAnsi="Times New Roman" w:cs="Times New Roman"/>
          <w:sz w:val="24"/>
          <w:szCs w:val="24"/>
        </w:rPr>
      </w:pPr>
    </w:p>
    <w:p w14:paraId="5B279A41">
      <w:pPr>
        <w:pStyle w:val="8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9.1.21 </w:t>
      </w:r>
      <w:bookmarkStart w:id="48" w:name="_Hlk175228415"/>
      <w:r>
        <w:rPr>
          <w:rFonts w:ascii="Times New Roman" w:hAnsi="Times New Roman" w:cs="Times New Roman"/>
          <w:sz w:val="24"/>
          <w:szCs w:val="24"/>
        </w:rPr>
        <w:t>Caso o valor do Contrato se enquadre no limite previsto na legislação vigente, manter Programa de Integridade, consistindo tal programa no conjunto de mecanismos e procedimentos internos de integridade, auditoria e incentivo à denúncia de irregularidades e na aplicação efetiva de códigos de ética e de conduta, políticas e diretrizes com o objetivo de detectar e sanar desvios, fraudes, irregularidades e atos ilícitos praticados contra a Administração Pública.</w:t>
      </w:r>
    </w:p>
    <w:p w14:paraId="195587E2">
      <w:pPr>
        <w:pStyle w:val="83"/>
        <w:spacing w:before="0" w:after="0" w:line="288" w:lineRule="auto"/>
        <w:ind w:left="0" w:firstLine="0"/>
        <w:contextualSpacing/>
        <w:rPr>
          <w:rFonts w:ascii="Times New Roman" w:hAnsi="Times New Roman" w:eastAsia="Calibri" w:cs="Times New Roman"/>
          <w:color w:val="auto"/>
          <w:sz w:val="24"/>
          <w:szCs w:val="24"/>
          <w:lang w:eastAsia="en-US"/>
        </w:rPr>
      </w:pPr>
    </w:p>
    <w:p w14:paraId="014AB289">
      <w:pPr>
        <w:pStyle w:val="83"/>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eastAsia="Calibri" w:cs="Times New Roman"/>
          <w:color w:val="auto"/>
          <w:sz w:val="24"/>
          <w:szCs w:val="24"/>
          <w:lang w:eastAsia="en-US"/>
        </w:rPr>
        <w:t xml:space="preserve">9.1.21.1 Caso o </w:t>
      </w:r>
      <w:r>
        <w:rPr>
          <w:rFonts w:ascii="Times New Roman" w:hAnsi="Times New Roman" w:eastAsia="Calibri" w:cs="Times New Roman"/>
          <w:b/>
          <w:bCs/>
          <w:color w:val="auto"/>
          <w:sz w:val="24"/>
          <w:szCs w:val="24"/>
          <w:lang w:eastAsia="en-US"/>
        </w:rPr>
        <w:t>CONTRATADO</w:t>
      </w:r>
      <w:r>
        <w:rPr>
          <w:rFonts w:ascii="Times New Roman" w:hAnsi="Times New Roman" w:eastAsia="Calibri" w:cs="Times New Roman"/>
          <w:color w:val="auto"/>
          <w:sz w:val="24"/>
          <w:szCs w:val="24"/>
          <w:lang w:eastAsia="en-US"/>
        </w:rPr>
        <w:t xml:space="preserve"> ainda não tenha Programa de Integridade instituído, compromete-se a implantar o Programa de Integridade no prazo de até 180 (cento e oitenta) dias corridos, a partir da data de celebração do presente Contrato, </w:t>
      </w:r>
      <w:r>
        <w:rPr>
          <w:rFonts w:ascii="Times New Roman" w:hAnsi="Times New Roman" w:cs="Times New Roman"/>
          <w:color w:val="auto"/>
          <w:sz w:val="24"/>
          <w:szCs w:val="24"/>
        </w:rPr>
        <w:t>na forma da legislação vigente.</w:t>
      </w:r>
    </w:p>
    <w:bookmarkEnd w:id="48"/>
    <w:p w14:paraId="29AFE58C">
      <w:pPr>
        <w:spacing w:line="288" w:lineRule="auto"/>
        <w:contextualSpacing/>
        <w:jc w:val="both"/>
        <w:rPr>
          <w:sz w:val="24"/>
          <w:szCs w:val="24"/>
        </w:rPr>
      </w:pPr>
    </w:p>
    <w:p w14:paraId="5C05F30B">
      <w:pPr>
        <w:spacing w:line="288" w:lineRule="auto"/>
        <w:contextualSpacing/>
        <w:jc w:val="both"/>
        <w:rPr>
          <w:sz w:val="24"/>
          <w:szCs w:val="24"/>
        </w:rPr>
      </w:pPr>
      <w:r>
        <w:rPr>
          <w:sz w:val="24"/>
          <w:szCs w:val="24"/>
        </w:rPr>
        <w:t>9.1.22 Orientar e treinar seus empregados sobre os deveres previstos na Lei nº 13.709, de 14 de agosto de 2018 (LGPD), adotando medidas eficazes para proteção de dados pessoais a que tenha acesso por força da execução deste Contrato.</w:t>
      </w:r>
    </w:p>
    <w:p w14:paraId="6B49C167">
      <w:pPr>
        <w:spacing w:line="288" w:lineRule="auto"/>
        <w:contextualSpacing/>
        <w:jc w:val="both"/>
        <w:rPr>
          <w:sz w:val="24"/>
          <w:szCs w:val="24"/>
        </w:rPr>
      </w:pPr>
    </w:p>
    <w:p w14:paraId="078D6AD5">
      <w:pPr>
        <w:pStyle w:val="85"/>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DÉCIMA – GARANTIA DE EXECUÇÃO</w:t>
      </w:r>
    </w:p>
    <w:p w14:paraId="57481BC2">
      <w:pPr>
        <w:spacing w:line="288" w:lineRule="auto"/>
        <w:contextualSpacing/>
        <w:jc w:val="both"/>
        <w:rPr>
          <w:sz w:val="24"/>
          <w:szCs w:val="24"/>
        </w:rPr>
      </w:pPr>
    </w:p>
    <w:p w14:paraId="045DCC07">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 O Contrato conta com garantia de execução, nos moldes do </w:t>
      </w:r>
      <w:r>
        <w:fldChar w:fldCharType="begin"/>
      </w:r>
      <w:r>
        <w:instrText xml:space="preserve"> HYPERLINK "http://www.planalto.gov.br/ccivil_03/_ato2019-2022/2021/lei/L14133.htm" \l "art96" </w:instrText>
      </w:r>
      <w:r>
        <w:fldChar w:fldCharType="separate"/>
      </w:r>
      <w:r>
        <w:rPr>
          <w:rStyle w:val="14"/>
          <w:rFonts w:eastAsiaTheme="minorHAnsi"/>
          <w:color w:val="000000" w:themeColor="text1"/>
          <w:sz w:val="24"/>
          <w:szCs w:val="24"/>
          <w14:textFill>
            <w14:solidFill>
              <w14:schemeClr w14:val="tx1"/>
            </w14:solidFill>
          </w14:textFill>
        </w:rPr>
        <w:t>artigo 96 da Lei nº 14.133</w:t>
      </w:r>
      <w:r>
        <w:rPr>
          <w:rStyle w:val="14"/>
          <w:rFonts w:eastAsiaTheme="minorHAnsi"/>
          <w:color w:val="000000" w:themeColor="text1"/>
          <w:sz w:val="24"/>
          <w:szCs w:val="24"/>
          <w14:textFill>
            <w14:solidFill>
              <w14:schemeClr w14:val="tx1"/>
            </w14:solidFill>
          </w14:textFill>
        </w:rPr>
        <w:fldChar w:fldCharType="end"/>
      </w:r>
      <w:r>
        <w:rPr>
          <w:rStyle w:val="14"/>
          <w:rFonts w:eastAsiaTheme="minorHAnsi"/>
          <w:color w:val="000000" w:themeColor="text1"/>
          <w:sz w:val="24"/>
          <w:szCs w:val="24"/>
          <w14:textFill>
            <w14:solidFill>
              <w14:schemeClr w14:val="tx1"/>
            </w14:solidFill>
          </w14:textFill>
        </w:rPr>
        <w:t>/</w:t>
      </w:r>
      <w:r>
        <w:rPr>
          <w:color w:val="000000" w:themeColor="text1"/>
          <w:sz w:val="24"/>
          <w:szCs w:val="24"/>
          <w14:textFill>
            <w14:solidFill>
              <w14:schemeClr w14:val="tx1"/>
            </w14:solidFill>
          </w14:textFill>
        </w:rPr>
        <w:t>2021, correspondente a 5 % (cinco) de seu valor inicial/anual.</w:t>
      </w:r>
    </w:p>
    <w:p w14:paraId="1D68E743">
      <w:pPr>
        <w:pStyle w:val="86"/>
        <w:spacing w:before="288" w:beforeLines="120" w:after="288" w:afterLines="120" w:line="288" w:lineRule="auto"/>
        <w:ind w:left="0" w:right="849"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10.1.1 Na forma do art. 101 da Lei nº 14.133/2021, nos casos de contratos que impliquem a entrega de bens pela Administração, dos quais o </w:t>
      </w:r>
      <w:r>
        <w:rPr>
          <w:rFonts w:ascii="Times New Roman" w:hAnsi="Times New Roman" w:cs="Times New Roman"/>
          <w:b/>
          <w:bCs/>
          <w:color w:val="000000" w:themeColor="text1"/>
          <w:sz w:val="24"/>
          <w:szCs w:val="24"/>
          <w14:textFill>
            <w14:solidFill>
              <w14:schemeClr w14:val="tx1"/>
            </w14:solidFill>
          </w14:textFill>
        </w:rPr>
        <w:t>CONTRATADO</w:t>
      </w:r>
      <w:r>
        <w:rPr>
          <w:rFonts w:ascii="Times New Roman" w:hAnsi="Times New Roman" w:cs="Times New Roman"/>
          <w:color w:val="000000" w:themeColor="text1"/>
          <w:sz w:val="24"/>
          <w:szCs w:val="24"/>
          <w14:textFill>
            <w14:solidFill>
              <w14:schemeClr w14:val="tx1"/>
            </w14:solidFill>
          </w14:textFill>
        </w:rPr>
        <w:t xml:space="preserve"> ficará depositário, o valor desses bens deverá ser acrescido ao valor da garantia.</w:t>
      </w:r>
    </w:p>
    <w:p w14:paraId="5C7CAA17">
      <w:pPr>
        <w:pStyle w:val="91"/>
        <w:numPr>
          <w:ilvl w:val="0"/>
          <w:numId w:val="0"/>
        </w:numPr>
        <w:spacing w:after="288" w:afterLines="120" w:line="288" w:lineRule="auto"/>
        <w:ind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10.2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poderá optar pelas seguintes modalidades de garantia:</w:t>
      </w:r>
    </w:p>
    <w:p w14:paraId="35960966">
      <w:pPr>
        <w:pStyle w:val="91"/>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I - caução em dinheiro ou em títulos da dívida pública;</w:t>
      </w:r>
    </w:p>
    <w:p w14:paraId="57F36E1D">
      <w:pPr>
        <w:pStyle w:val="91"/>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II - seguro-garantia; </w:t>
      </w:r>
    </w:p>
    <w:p w14:paraId="30D42321">
      <w:pPr>
        <w:pStyle w:val="91"/>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III - fiança bancária; e</w:t>
      </w:r>
    </w:p>
    <w:p w14:paraId="55548599">
      <w:pPr>
        <w:pStyle w:val="91"/>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IV - título de capitalização custeado por pagamento único, com resgate pelo valor total.</w:t>
      </w:r>
    </w:p>
    <w:p w14:paraId="26962BE7">
      <w:pPr>
        <w:pStyle w:val="91"/>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6A1F1747">
      <w:pPr>
        <w:pStyle w:val="91"/>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10.3 Qualquer que seja a modalidade escolhida pelo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a garantia assegurará o pagamento de: </w:t>
      </w:r>
    </w:p>
    <w:p w14:paraId="45CD013E">
      <w:pPr>
        <w:pStyle w:val="91"/>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64B58A6D">
      <w:pPr>
        <w:pStyle w:val="91"/>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10.3.1 prejuízos advindos do não cumprimento do objeto do Contrato e do não adimplemento das demais obrigações neste previstas;</w:t>
      </w:r>
    </w:p>
    <w:p w14:paraId="238C6ED0">
      <w:pPr>
        <w:pStyle w:val="91"/>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5D83D4AA">
      <w:pPr>
        <w:pStyle w:val="91"/>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10.3.2 multas moratórias, compensatórias e administrativas aplicadas pela Administração ao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e</w:t>
      </w:r>
    </w:p>
    <w:p w14:paraId="258252F4">
      <w:pPr>
        <w:pStyle w:val="91"/>
        <w:numPr>
          <w:ilvl w:val="0"/>
          <w:numId w:val="0"/>
        </w:numPr>
        <w:spacing w:after="288" w:afterLines="120" w:line="288" w:lineRule="auto"/>
        <w:ind w:left="567" w:right="565"/>
        <w:contextualSpacing/>
        <w:rPr>
          <w:rFonts w:ascii="Times New Roman" w:hAnsi="Times New Roman" w:cs="Times New Roman"/>
          <w:bCs/>
          <w:i w:val="0"/>
          <w:iCs w:val="0"/>
          <w:color w:val="000000" w:themeColor="text1"/>
          <w:sz w:val="24"/>
          <w:szCs w:val="24"/>
          <w14:textFill>
            <w14:solidFill>
              <w14:schemeClr w14:val="tx1"/>
            </w14:solidFill>
          </w14:textFill>
        </w:rPr>
      </w:pPr>
    </w:p>
    <w:p w14:paraId="13B52246">
      <w:pPr>
        <w:pStyle w:val="91"/>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bCs/>
          <w:i w:val="0"/>
          <w:iCs w:val="0"/>
          <w:color w:val="000000" w:themeColor="text1"/>
          <w:sz w:val="24"/>
          <w:szCs w:val="24"/>
          <w14:textFill>
            <w14:solidFill>
              <w14:schemeClr w14:val="tx1"/>
            </w14:solidFill>
          </w14:textFill>
        </w:rPr>
        <w:t xml:space="preserve">10.3.3 obrigações trabalhistas e   previdenciárias de </w:t>
      </w:r>
      <w:r>
        <w:rPr>
          <w:rFonts w:ascii="Times New Roman" w:hAnsi="Times New Roman" w:cs="Times New Roman"/>
          <w:i w:val="0"/>
          <w:iCs w:val="0"/>
          <w:color w:val="000000" w:themeColor="text1"/>
          <w:sz w:val="24"/>
          <w:szCs w:val="24"/>
          <w14:textFill>
            <w14:solidFill>
              <w14:schemeClr w14:val="tx1"/>
            </w14:solidFill>
          </w14:textFill>
        </w:rPr>
        <w:t xml:space="preserve">qualquer natureza, assim como as obrigações de regularidade perante o FGTS, não adimplidas pelo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quando couber.</w:t>
      </w:r>
    </w:p>
    <w:p w14:paraId="26F0A3C9">
      <w:pPr>
        <w:pStyle w:val="91"/>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78C80D04">
      <w:pPr>
        <w:pStyle w:val="91"/>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10.4</w:t>
      </w:r>
      <w:r>
        <w:rPr>
          <w:rStyle w:val="100"/>
          <w:rFonts w:ascii="Times New Roman" w:hAnsi="Times New Roman" w:cs="Times New Roman"/>
          <w:i w:val="0"/>
          <w:iCs w:val="0"/>
          <w:color w:val="000000" w:themeColor="text1"/>
          <w:sz w:val="24"/>
          <w:szCs w:val="24"/>
          <w:shd w:val="clear" w:color="auto" w:fill="FFFFFF"/>
          <w14:textFill>
            <w14:solidFill>
              <w14:schemeClr w14:val="tx1"/>
            </w14:solidFill>
          </w14:textFill>
        </w:rPr>
        <w:t xml:space="preserve"> </w:t>
      </w:r>
      <w:r>
        <w:rPr>
          <w:rFonts w:ascii="Times New Roman" w:hAnsi="Times New Roman" w:cs="Times New Roman"/>
          <w:i w:val="0"/>
          <w:iCs w:val="0"/>
          <w:color w:val="000000" w:themeColor="text1"/>
          <w:sz w:val="24"/>
          <w:szCs w:val="24"/>
          <w14:textFill>
            <w14:solidFill>
              <w14:schemeClr w14:val="tx1"/>
            </w14:solidFill>
          </w14:textFill>
        </w:rPr>
        <w:t>A garantia, qualquer que seja a modalidade escolhida, terá validade durante a vigência do Contrato e por mais 90 (noventa) dias após o término deste prazo de vigência.</w:t>
      </w:r>
    </w:p>
    <w:p w14:paraId="2DA838BB">
      <w:pPr>
        <w:pStyle w:val="91"/>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29953587">
      <w:pPr>
        <w:pStyle w:val="91"/>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10.5 Na hipótese de suspensão do Contrato por ordem ou inadimplemento da Administração,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ficará desobrigado de renovar a garantia ou de endossar a apólice de seguro até a ordem de reinício da execução ou o adimplemento pela Administração.</w:t>
      </w:r>
    </w:p>
    <w:p w14:paraId="5C333C7B">
      <w:pPr>
        <w:pStyle w:val="91"/>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34A41C9E">
      <w:pPr>
        <w:pStyle w:val="91"/>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10.6 Ressalvada a hipótese de seguro-garantia, cuja apresentação deve ser anterior à assinatura do Contrato,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apresentará, no prazo máximo de 10 (dez) dias úteis, prorrogáveis por igual período, a critério do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contado da assinatura do Contrato, o comprovante de prestação de garantia, na forma do item 10.2.</w:t>
      </w:r>
    </w:p>
    <w:p w14:paraId="16EA9C63">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10.7 Caso oferecida a modalidade de seguro-garantia, observar-se-ão as seguintes condições:</w:t>
      </w:r>
    </w:p>
    <w:p w14:paraId="417E4447">
      <w:pPr>
        <w:spacing w:line="288" w:lineRule="auto"/>
        <w:ind w:left="567" w:right="565"/>
        <w:contextualSpacing/>
        <w:jc w:val="both"/>
        <w:rPr>
          <w:color w:val="000000" w:themeColor="text1"/>
          <w:sz w:val="24"/>
          <w:szCs w:val="24"/>
          <w14:textFill>
            <w14:solidFill>
              <w14:schemeClr w14:val="tx1"/>
            </w14:solidFill>
          </w14:textFill>
        </w:rPr>
      </w:pPr>
    </w:p>
    <w:p w14:paraId="240E281E">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10.7.1 a apólice permanecerá em vigor mesmo que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não pague o prêmio nas datas convencionadas;</w:t>
      </w:r>
    </w:p>
    <w:p w14:paraId="4E25D5F2">
      <w:pPr>
        <w:spacing w:line="288" w:lineRule="auto"/>
        <w:ind w:left="567" w:right="565"/>
        <w:contextualSpacing/>
        <w:jc w:val="both"/>
        <w:rPr>
          <w:color w:val="000000" w:themeColor="text1"/>
          <w:sz w:val="24"/>
          <w:szCs w:val="24"/>
          <w14:textFill>
            <w14:solidFill>
              <w14:schemeClr w14:val="tx1"/>
            </w14:solidFill>
          </w14:textFill>
        </w:rPr>
      </w:pPr>
    </w:p>
    <w:p w14:paraId="1C8D96F5">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10.7.2 a apólice deverá acompanhar as modificações referentes à vigência do Contrato principal, mediante a emissão do respectivo endosso pela seguradora;</w:t>
      </w:r>
    </w:p>
    <w:p w14:paraId="7EE4FA02">
      <w:pPr>
        <w:spacing w:line="288" w:lineRule="auto"/>
        <w:ind w:left="567" w:right="565"/>
        <w:contextualSpacing/>
        <w:jc w:val="both"/>
        <w:rPr>
          <w:color w:val="000000" w:themeColor="text1"/>
          <w:sz w:val="24"/>
          <w:szCs w:val="24"/>
          <w14:textFill>
            <w14:solidFill>
              <w14:schemeClr w14:val="tx1"/>
            </w14:solidFill>
          </w14:textFill>
        </w:rPr>
      </w:pPr>
    </w:p>
    <w:p w14:paraId="31582A18">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10.7.3 será permitida a substituição da apólice na data de renovação ou de aniversário, desde que mantidas as condições e coberturas da apólice vigente e nenhum período fique descoberto, ressalvado o disposto no item 10.5 deste Contrato; e</w:t>
      </w:r>
    </w:p>
    <w:p w14:paraId="1E53AEDE">
      <w:pPr>
        <w:spacing w:line="288" w:lineRule="auto"/>
        <w:ind w:left="567" w:right="565"/>
        <w:contextualSpacing/>
        <w:jc w:val="both"/>
        <w:rPr>
          <w:color w:val="000000" w:themeColor="text1"/>
          <w:sz w:val="24"/>
          <w:szCs w:val="24"/>
          <w14:textFill>
            <w14:solidFill>
              <w14:schemeClr w14:val="tx1"/>
            </w14:solidFill>
          </w14:textFill>
        </w:rPr>
      </w:pPr>
    </w:p>
    <w:p w14:paraId="0B682D74">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10.7.4 a apólice somente será aceita se contemplar todos os eventos indicados no item 10.3, observada a legislação que rege a matéria.</w:t>
      </w:r>
    </w:p>
    <w:p w14:paraId="36A47476">
      <w:pPr>
        <w:spacing w:line="288" w:lineRule="auto"/>
        <w:ind w:left="567" w:right="565"/>
        <w:contextualSpacing/>
        <w:jc w:val="both"/>
        <w:rPr>
          <w:color w:val="000000" w:themeColor="text1"/>
          <w:sz w:val="24"/>
          <w:szCs w:val="24"/>
          <w14:textFill>
            <w14:solidFill>
              <w14:schemeClr w14:val="tx1"/>
            </w14:solidFill>
          </w14:textFill>
        </w:rPr>
      </w:pPr>
    </w:p>
    <w:p w14:paraId="5E14AAFB">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10.8 Em caso de oferecimento de títulos da dívida pública, estes devem ser emitidos sob a forma escritural, mediante registro em sistema centralizado de liquidação e de custódia autorizado pelo Banco Central do Brasil, e avaliados pelos seus valores econômicos, conforme definido pelo Ministério da Fazenda.</w:t>
      </w:r>
    </w:p>
    <w:p w14:paraId="59F05066">
      <w:pPr>
        <w:pStyle w:val="91"/>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73494480">
      <w:pPr>
        <w:pStyle w:val="91"/>
        <w:numPr>
          <w:ilvl w:val="0"/>
          <w:numId w:val="0"/>
        </w:numPr>
        <w:spacing w:before="0" w:after="288" w:afterLines="120" w:line="288" w:lineRule="auto"/>
        <w:ind w:left="567" w:right="565"/>
        <w:contextualSpacing/>
        <w:rPr>
          <w:rStyle w:val="14"/>
          <w:rFonts w:ascii="Times New Roman" w:hAnsi="Times New Roman" w:cs="Times New Roman" w:eastAsiaTheme="minorHAnsi"/>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10.9 Caso a opção seja por fiança bancária, esta deverá ser emitida por banco ou instituição financeira devidamente autorizada a operar no País pelo Banco Central do Brasil, e deverá constar expressa renúncia do fiador aos benefícios do </w:t>
      </w:r>
      <w:r>
        <w:fldChar w:fldCharType="begin"/>
      </w:r>
      <w:r>
        <w:instrText xml:space="preserve"> HYPERLINK "https://www.planalto.gov.br/ccivil_03/leis/2002/l10406compilada.htm" \l "art827" </w:instrText>
      </w:r>
      <w:r>
        <w:fldChar w:fldCharType="separate"/>
      </w:r>
      <w:r>
        <w:rPr>
          <w:rStyle w:val="14"/>
          <w:rFonts w:ascii="Times New Roman" w:hAnsi="Times New Roman" w:cs="Times New Roman" w:eastAsiaTheme="minorHAnsi"/>
          <w:i w:val="0"/>
          <w:iCs w:val="0"/>
          <w:color w:val="000000" w:themeColor="text1"/>
          <w:sz w:val="24"/>
          <w:szCs w:val="24"/>
          <w14:textFill>
            <w14:solidFill>
              <w14:schemeClr w14:val="tx1"/>
            </w14:solidFill>
          </w14:textFill>
        </w:rPr>
        <w:t>artigo 827 do Código Civil.</w:t>
      </w:r>
      <w:r>
        <w:rPr>
          <w:rStyle w:val="14"/>
          <w:rFonts w:ascii="Times New Roman" w:hAnsi="Times New Roman" w:cs="Times New Roman" w:eastAsiaTheme="minorHAnsi"/>
          <w:i w:val="0"/>
          <w:iCs w:val="0"/>
          <w:color w:val="000000" w:themeColor="text1"/>
          <w:sz w:val="24"/>
          <w:szCs w:val="24"/>
          <w14:textFill>
            <w14:solidFill>
              <w14:schemeClr w14:val="tx1"/>
            </w14:solidFill>
          </w14:textFill>
        </w:rPr>
        <w:fldChar w:fldCharType="end"/>
      </w:r>
    </w:p>
    <w:p w14:paraId="5CD5CE78">
      <w:pPr>
        <w:pStyle w:val="91"/>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115EC80F">
      <w:pPr>
        <w:pStyle w:val="91"/>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10.10 Caso a opção seja por garantia em dinheiro, deverá ser efetuada em favor do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xml:space="preserve">, na conta corrente e agência  da instituição financeira contratada pelo Município a ser informada, cujo valor será corrigido monetariamente e restituído ao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na forma do item 10.16 deste Contrato.</w:t>
      </w:r>
    </w:p>
    <w:p w14:paraId="7C2DA197">
      <w:pPr>
        <w:pStyle w:val="91"/>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7D9D1C42">
      <w:pPr>
        <w:pStyle w:val="91"/>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10.11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obriga-se a fazer a reposição, a suplementação ou a renovação da garantia, no prazo máximo de 10 (dez) dias úteis, contados da data em que for notificado, no caso desta ser executada, total ou parcialmente, ou o Contrato for prorrogado ou tiver o seu valor alterado, assim como em qualquer outra situação que exija a manutenção da condição disposta no item 10.1 desta cláusula. </w:t>
      </w:r>
    </w:p>
    <w:p w14:paraId="0F51FA4E">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10.12 A inobservância do prazo fixado para apresentação, reposição, suplementação ou renovação da garantia acarretará a aplicação de multa e/ou outras penalidades, na forma disposta na cláusula décima segunda. </w:t>
      </w:r>
    </w:p>
    <w:p w14:paraId="56FC2C38">
      <w:pPr>
        <w:spacing w:line="288" w:lineRule="auto"/>
        <w:ind w:left="567" w:right="565"/>
        <w:contextualSpacing/>
        <w:jc w:val="both"/>
        <w:rPr>
          <w:color w:val="000000" w:themeColor="text1"/>
          <w:sz w:val="24"/>
          <w:szCs w:val="24"/>
          <w14:textFill>
            <w14:solidFill>
              <w14:schemeClr w14:val="tx1"/>
            </w14:solidFill>
          </w14:textFill>
        </w:rPr>
      </w:pPr>
    </w:p>
    <w:p w14:paraId="23394ECA">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10.12.1 O atraso superior a 25 (vinte e cinco) dias autoriza 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a promover a rescisão do Contrato por descumprimento ou cumprimento irregular de suas cláusulas, com a aplicação das sanções cabíveis.</w:t>
      </w:r>
    </w:p>
    <w:p w14:paraId="68906B2E">
      <w:pPr>
        <w:spacing w:line="288" w:lineRule="auto"/>
        <w:ind w:left="567" w:right="565"/>
        <w:contextualSpacing/>
        <w:jc w:val="both"/>
        <w:rPr>
          <w:color w:val="000000" w:themeColor="text1"/>
          <w:sz w:val="24"/>
          <w:szCs w:val="24"/>
          <w14:textFill>
            <w14:solidFill>
              <w14:schemeClr w14:val="tx1"/>
            </w14:solidFill>
          </w14:textFill>
        </w:rPr>
      </w:pPr>
    </w:p>
    <w:p w14:paraId="076CAEB6">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10.13 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executará a garantia na forma prevista na legislação que rege a matéria.</w:t>
      </w:r>
    </w:p>
    <w:p w14:paraId="6F773E47">
      <w:pPr>
        <w:spacing w:line="288" w:lineRule="auto"/>
        <w:ind w:left="567" w:right="565"/>
        <w:contextualSpacing/>
        <w:jc w:val="both"/>
        <w:rPr>
          <w:color w:val="000000" w:themeColor="text1"/>
          <w:sz w:val="24"/>
          <w:szCs w:val="24"/>
          <w14:textFill>
            <w14:solidFill>
              <w14:schemeClr w14:val="tx1"/>
            </w14:solidFill>
          </w14:textFill>
        </w:rPr>
      </w:pPr>
    </w:p>
    <w:p w14:paraId="4C9D128B">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10.14 O emitente da garantia ofertada pelo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deverá ser notificado pelo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quanto ao início de processo administrativo para apuração de descumprimento de cláusulas contratuais.</w:t>
      </w:r>
    </w:p>
    <w:p w14:paraId="40DD35F0">
      <w:pPr>
        <w:spacing w:line="288" w:lineRule="auto"/>
        <w:ind w:left="567" w:right="565"/>
        <w:contextualSpacing/>
        <w:jc w:val="both"/>
        <w:rPr>
          <w:color w:val="000000" w:themeColor="text1"/>
          <w:sz w:val="24"/>
          <w:szCs w:val="24"/>
          <w14:textFill>
            <w14:solidFill>
              <w14:schemeClr w14:val="tx1"/>
            </w14:solidFill>
          </w14:textFill>
        </w:rPr>
      </w:pPr>
    </w:p>
    <w:p w14:paraId="016B110E">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10.14.1 O garantidor não é parte para figurar em processo administrativo instaurado pelo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com o objetivo de apurar prejuízos e/ou aplicar sanções ao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w:t>
      </w:r>
    </w:p>
    <w:p w14:paraId="037A09E6">
      <w:pPr>
        <w:spacing w:line="288" w:lineRule="auto"/>
        <w:ind w:left="567" w:right="565"/>
        <w:contextualSpacing/>
        <w:jc w:val="both"/>
        <w:rPr>
          <w:color w:val="000000" w:themeColor="text1"/>
          <w:sz w:val="24"/>
          <w:szCs w:val="24"/>
          <w14:textFill>
            <w14:solidFill>
              <w14:schemeClr w14:val="tx1"/>
            </w14:solidFill>
          </w14:textFill>
        </w:rPr>
      </w:pPr>
    </w:p>
    <w:p w14:paraId="7BDA7ECA">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10.15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2022.</w:t>
      </w:r>
    </w:p>
    <w:p w14:paraId="083F069A">
      <w:pPr>
        <w:spacing w:line="288" w:lineRule="auto"/>
        <w:ind w:left="567" w:right="565"/>
        <w:contextualSpacing/>
        <w:jc w:val="both"/>
        <w:rPr>
          <w:color w:val="000000" w:themeColor="text1"/>
          <w:sz w:val="24"/>
          <w:szCs w:val="24"/>
          <w14:textFill>
            <w14:solidFill>
              <w14:schemeClr w14:val="tx1"/>
            </w14:solidFill>
          </w14:textFill>
        </w:rPr>
      </w:pPr>
    </w:p>
    <w:p w14:paraId="74ECF5DE">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10.16 Extinguir-se-á a garantia com a restituição da apólice, carta fiança, título da dívida pública ou autorização para a liberação da caução em dinheiro, atualizada monetariamente, acompanhada de declaração do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mediante termo circunstanciado, de que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cumpriu todas as cláusulas do Contrato.</w:t>
      </w:r>
    </w:p>
    <w:p w14:paraId="41A14121">
      <w:pPr>
        <w:spacing w:line="288" w:lineRule="auto"/>
        <w:ind w:left="567" w:right="565"/>
        <w:contextualSpacing/>
        <w:jc w:val="both"/>
        <w:rPr>
          <w:color w:val="000000" w:themeColor="text1"/>
          <w:sz w:val="24"/>
          <w:szCs w:val="24"/>
          <w14:textFill>
            <w14:solidFill>
              <w14:schemeClr w14:val="tx1"/>
            </w14:solidFill>
          </w14:textFill>
        </w:rPr>
      </w:pPr>
    </w:p>
    <w:p w14:paraId="624C7603">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10.16.1 A garantia somente será liberada ou restituída, após a fiel execução do Contrato ou pela sua extinção, por culpa exclusiva da Administração, ou quando assim convencionado, em se tratando de extinção consensual da contratação.</w:t>
      </w:r>
    </w:p>
    <w:p w14:paraId="2A5847EE">
      <w:pPr>
        <w:pStyle w:val="91"/>
        <w:numPr>
          <w:ilvl w:val="0"/>
          <w:numId w:val="0"/>
        </w:numPr>
        <w:spacing w:before="0" w:after="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17CC2C16">
      <w:pPr>
        <w:pStyle w:val="91"/>
        <w:numPr>
          <w:ilvl w:val="0"/>
          <w:numId w:val="0"/>
        </w:numPr>
        <w:spacing w:before="0" w:after="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10.17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autoriza 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xml:space="preserve"> a reter, a qualquer tempo, a garantia, na forma prevista no Edital e neste Contrato.</w:t>
      </w:r>
    </w:p>
    <w:p w14:paraId="0EC40B6E">
      <w:pPr>
        <w:pStyle w:val="91"/>
        <w:numPr>
          <w:ilvl w:val="0"/>
          <w:numId w:val="0"/>
        </w:numPr>
        <w:spacing w:before="0" w:after="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11F740B9">
      <w:pPr>
        <w:pStyle w:val="89"/>
        <w:numPr>
          <w:ilvl w:val="0"/>
          <w:numId w:val="0"/>
        </w:numPr>
        <w:spacing w:before="0" w:line="288" w:lineRule="auto"/>
        <w:ind w:left="32"/>
        <w:contextualSpacing/>
        <w:rPr>
          <w:rFonts w:ascii="Times New Roman" w:hAnsi="Times New Roman"/>
          <w:color w:val="auto"/>
          <w:sz w:val="24"/>
          <w:szCs w:val="24"/>
        </w:rPr>
      </w:pPr>
      <w:r>
        <w:rPr>
          <w:rFonts w:ascii="Times New Roman" w:hAnsi="Times New Roman"/>
          <w:color w:val="auto"/>
          <w:sz w:val="24"/>
          <w:szCs w:val="24"/>
        </w:rPr>
        <w:t xml:space="preserve">CLÁUSULA DÉCIMA PRIMEIRA – DAS INFRAÇÕES ADMINISTRATIVAS E SANÇÕES </w:t>
      </w:r>
    </w:p>
    <w:p w14:paraId="557AB0CE">
      <w:pPr>
        <w:spacing w:line="288" w:lineRule="auto"/>
        <w:contextualSpacing/>
        <w:jc w:val="both"/>
        <w:rPr>
          <w:sz w:val="24"/>
          <w:szCs w:val="24"/>
        </w:rPr>
      </w:pPr>
    </w:p>
    <w:p w14:paraId="5EDDA022">
      <w:pPr>
        <w:spacing w:line="288" w:lineRule="auto"/>
        <w:contextualSpacing/>
        <w:jc w:val="both"/>
        <w:rPr>
          <w:color w:val="000000"/>
          <w:sz w:val="24"/>
          <w:szCs w:val="24"/>
        </w:rPr>
      </w:pPr>
      <w:r>
        <w:rPr>
          <w:color w:val="000000"/>
          <w:sz w:val="24"/>
          <w:szCs w:val="24"/>
        </w:rPr>
        <w:t xml:space="preserve">11.1 Constitui infração administrativa, a prática, pelo </w:t>
      </w:r>
      <w:r>
        <w:rPr>
          <w:b/>
          <w:bCs/>
          <w:color w:val="000000"/>
          <w:sz w:val="24"/>
          <w:szCs w:val="24"/>
        </w:rPr>
        <w:t>CONTRATADO</w:t>
      </w:r>
      <w:r>
        <w:rPr>
          <w:color w:val="000000"/>
          <w:sz w:val="24"/>
          <w:szCs w:val="24"/>
        </w:rPr>
        <w:t>, das seguintes condutas previstas no art. 155 da Lei nº 14.133/2021:</w:t>
      </w:r>
    </w:p>
    <w:p w14:paraId="77551542">
      <w:pPr>
        <w:spacing w:line="288" w:lineRule="auto"/>
        <w:contextualSpacing/>
        <w:jc w:val="both"/>
        <w:rPr>
          <w:color w:val="000000"/>
          <w:sz w:val="24"/>
          <w:szCs w:val="24"/>
        </w:rPr>
      </w:pPr>
    </w:p>
    <w:p w14:paraId="161D8E2C">
      <w:pPr>
        <w:spacing w:line="288" w:lineRule="auto"/>
        <w:contextualSpacing/>
        <w:jc w:val="both"/>
        <w:rPr>
          <w:sz w:val="24"/>
          <w:szCs w:val="24"/>
        </w:rPr>
      </w:pPr>
      <w:r>
        <w:rPr>
          <w:color w:val="000000"/>
          <w:sz w:val="24"/>
          <w:szCs w:val="24"/>
        </w:rPr>
        <w:t>11.1.1 dar causa à inexecução parcial do contrato</w:t>
      </w:r>
      <w:r>
        <w:rPr>
          <w:sz w:val="24"/>
          <w:szCs w:val="24"/>
        </w:rPr>
        <w:t>;</w:t>
      </w:r>
    </w:p>
    <w:p w14:paraId="06E3F7F1">
      <w:pPr>
        <w:spacing w:line="288" w:lineRule="auto"/>
        <w:contextualSpacing/>
        <w:jc w:val="both"/>
        <w:rPr>
          <w:sz w:val="24"/>
          <w:szCs w:val="24"/>
        </w:rPr>
      </w:pPr>
    </w:p>
    <w:p w14:paraId="72AB96BD">
      <w:pPr>
        <w:spacing w:line="288" w:lineRule="auto"/>
        <w:contextualSpacing/>
        <w:jc w:val="both"/>
        <w:rPr>
          <w:sz w:val="24"/>
          <w:szCs w:val="24"/>
        </w:rPr>
      </w:pPr>
      <w:r>
        <w:rPr>
          <w:sz w:val="24"/>
          <w:szCs w:val="24"/>
        </w:rPr>
        <w:t xml:space="preserve">11.1.2 </w:t>
      </w:r>
      <w:r>
        <w:rPr>
          <w:color w:val="000000"/>
          <w:sz w:val="24"/>
          <w:szCs w:val="24"/>
        </w:rPr>
        <w:t>dar causa à inexecução parcial do contrato que cause grave dano à Administração, ao funcionamento dos serviços públicos ou ao interesse coletivo;</w:t>
      </w:r>
    </w:p>
    <w:p w14:paraId="3BC2C7B9">
      <w:pPr>
        <w:spacing w:line="288" w:lineRule="auto"/>
        <w:contextualSpacing/>
        <w:jc w:val="both"/>
        <w:rPr>
          <w:color w:val="000000"/>
          <w:sz w:val="24"/>
          <w:szCs w:val="24"/>
        </w:rPr>
      </w:pPr>
    </w:p>
    <w:p w14:paraId="3A74CFCF">
      <w:pPr>
        <w:spacing w:line="288" w:lineRule="auto"/>
        <w:contextualSpacing/>
        <w:jc w:val="both"/>
        <w:rPr>
          <w:sz w:val="24"/>
          <w:szCs w:val="24"/>
        </w:rPr>
      </w:pPr>
      <w:r>
        <w:rPr>
          <w:color w:val="000000"/>
          <w:sz w:val="24"/>
          <w:szCs w:val="24"/>
        </w:rPr>
        <w:t>11.1.3 dar causa à inexecução total do contrato;</w:t>
      </w:r>
    </w:p>
    <w:p w14:paraId="2E551C9B">
      <w:pPr>
        <w:spacing w:line="288" w:lineRule="auto"/>
        <w:contextualSpacing/>
        <w:jc w:val="both"/>
        <w:rPr>
          <w:color w:val="000000"/>
          <w:sz w:val="24"/>
          <w:szCs w:val="24"/>
        </w:rPr>
      </w:pPr>
    </w:p>
    <w:p w14:paraId="12372913">
      <w:pPr>
        <w:spacing w:line="288" w:lineRule="auto"/>
        <w:contextualSpacing/>
        <w:jc w:val="both"/>
        <w:rPr>
          <w:sz w:val="24"/>
          <w:szCs w:val="24"/>
        </w:rPr>
      </w:pPr>
      <w:r>
        <w:rPr>
          <w:color w:val="000000"/>
          <w:sz w:val="24"/>
          <w:szCs w:val="24"/>
        </w:rPr>
        <w:t xml:space="preserve">11.1.4 deixar de entregar a documentação exigida para o certame ou não entregar qualquer documento que tenha sido solicitado pelo pregoeiro durante o certame; </w:t>
      </w:r>
    </w:p>
    <w:p w14:paraId="692F6B4F">
      <w:pPr>
        <w:spacing w:line="288" w:lineRule="auto"/>
        <w:contextualSpacing/>
        <w:jc w:val="both"/>
        <w:rPr>
          <w:color w:val="000000"/>
          <w:sz w:val="24"/>
          <w:szCs w:val="24"/>
        </w:rPr>
      </w:pPr>
    </w:p>
    <w:p w14:paraId="5B349262">
      <w:pPr>
        <w:spacing w:line="288" w:lineRule="auto"/>
        <w:contextualSpacing/>
        <w:jc w:val="both"/>
        <w:rPr>
          <w:color w:val="000000"/>
          <w:sz w:val="24"/>
          <w:szCs w:val="24"/>
        </w:rPr>
      </w:pPr>
      <w:r>
        <w:rPr>
          <w:color w:val="000000"/>
          <w:sz w:val="24"/>
          <w:szCs w:val="24"/>
        </w:rPr>
        <w:t>11.1.5 não manter a proposta, salvo em decorrência de fato superveniente devidamente justificado, em especial quando:</w:t>
      </w:r>
    </w:p>
    <w:p w14:paraId="0AE0ADE5">
      <w:pPr>
        <w:spacing w:line="288" w:lineRule="auto"/>
        <w:contextualSpacing/>
        <w:jc w:val="both"/>
        <w:rPr>
          <w:sz w:val="24"/>
          <w:szCs w:val="24"/>
        </w:rPr>
      </w:pPr>
    </w:p>
    <w:p w14:paraId="687BDA12">
      <w:pPr>
        <w:spacing w:line="288" w:lineRule="auto"/>
        <w:contextualSpacing/>
        <w:jc w:val="both"/>
        <w:rPr>
          <w:sz w:val="24"/>
          <w:szCs w:val="24"/>
        </w:rPr>
      </w:pPr>
      <w:r>
        <w:rPr>
          <w:sz w:val="24"/>
          <w:szCs w:val="24"/>
        </w:rPr>
        <w:t xml:space="preserve">11.1.5.1 não enviar a proposta adequada ao último lance ofertado ou após a negociação; </w:t>
      </w:r>
    </w:p>
    <w:p w14:paraId="7269C0FF">
      <w:pPr>
        <w:spacing w:line="288" w:lineRule="auto"/>
        <w:contextualSpacing/>
        <w:jc w:val="both"/>
        <w:rPr>
          <w:sz w:val="24"/>
          <w:szCs w:val="24"/>
        </w:rPr>
      </w:pPr>
    </w:p>
    <w:p w14:paraId="5E1DFC62">
      <w:pPr>
        <w:spacing w:line="288" w:lineRule="auto"/>
        <w:contextualSpacing/>
        <w:jc w:val="both"/>
        <w:rPr>
          <w:sz w:val="24"/>
          <w:szCs w:val="24"/>
        </w:rPr>
      </w:pPr>
      <w:r>
        <w:rPr>
          <w:sz w:val="24"/>
          <w:szCs w:val="24"/>
        </w:rPr>
        <w:t xml:space="preserve">11.1.5.2 recusar-se a enviar o detalhamento da proposta quando exigível; </w:t>
      </w:r>
    </w:p>
    <w:p w14:paraId="3F681E48">
      <w:pPr>
        <w:spacing w:line="288" w:lineRule="auto"/>
        <w:contextualSpacing/>
        <w:jc w:val="both"/>
        <w:rPr>
          <w:sz w:val="24"/>
          <w:szCs w:val="24"/>
        </w:rPr>
      </w:pPr>
    </w:p>
    <w:p w14:paraId="185E9277">
      <w:pPr>
        <w:spacing w:line="288" w:lineRule="auto"/>
        <w:contextualSpacing/>
        <w:jc w:val="both"/>
        <w:rPr>
          <w:sz w:val="24"/>
          <w:szCs w:val="24"/>
        </w:rPr>
      </w:pPr>
      <w:r>
        <w:rPr>
          <w:sz w:val="24"/>
          <w:szCs w:val="24"/>
        </w:rPr>
        <w:t xml:space="preserve">11.1.5.3 pedir para ser desclassificado quando encerrada a etapa competitiva; ou </w:t>
      </w:r>
    </w:p>
    <w:p w14:paraId="7F259EB1">
      <w:pPr>
        <w:spacing w:line="288" w:lineRule="auto"/>
        <w:contextualSpacing/>
        <w:jc w:val="both"/>
        <w:rPr>
          <w:sz w:val="24"/>
          <w:szCs w:val="24"/>
        </w:rPr>
      </w:pPr>
    </w:p>
    <w:p w14:paraId="6145E6BB">
      <w:pPr>
        <w:spacing w:line="288" w:lineRule="auto"/>
        <w:contextualSpacing/>
        <w:jc w:val="both"/>
        <w:rPr>
          <w:sz w:val="24"/>
          <w:szCs w:val="24"/>
        </w:rPr>
      </w:pPr>
      <w:r>
        <w:rPr>
          <w:sz w:val="24"/>
          <w:szCs w:val="24"/>
        </w:rPr>
        <w:t>11.1.5.4 deixar de apresentar amostra;</w:t>
      </w:r>
    </w:p>
    <w:p w14:paraId="51B18CA4">
      <w:pPr>
        <w:spacing w:line="288" w:lineRule="auto"/>
        <w:contextualSpacing/>
        <w:jc w:val="both"/>
        <w:rPr>
          <w:sz w:val="24"/>
          <w:szCs w:val="24"/>
        </w:rPr>
      </w:pPr>
    </w:p>
    <w:p w14:paraId="236D6152">
      <w:pPr>
        <w:spacing w:line="288" w:lineRule="auto"/>
        <w:contextualSpacing/>
        <w:jc w:val="both"/>
        <w:rPr>
          <w:sz w:val="24"/>
          <w:szCs w:val="24"/>
        </w:rPr>
      </w:pPr>
      <w:r>
        <w:rPr>
          <w:sz w:val="24"/>
          <w:szCs w:val="24"/>
        </w:rPr>
        <w:t xml:space="preserve">11.1.5.5 apresentar proposta ou amostra em desacordo com as especificações do instrumento convocatório; </w:t>
      </w:r>
    </w:p>
    <w:p w14:paraId="363B564A">
      <w:pPr>
        <w:spacing w:line="288" w:lineRule="auto"/>
        <w:contextualSpacing/>
        <w:jc w:val="both"/>
        <w:rPr>
          <w:color w:val="000000"/>
          <w:sz w:val="24"/>
          <w:szCs w:val="24"/>
        </w:rPr>
      </w:pPr>
    </w:p>
    <w:p w14:paraId="1D6A2402">
      <w:pPr>
        <w:spacing w:line="288" w:lineRule="auto"/>
        <w:contextualSpacing/>
        <w:jc w:val="both"/>
        <w:rPr>
          <w:color w:val="000000"/>
          <w:sz w:val="24"/>
          <w:szCs w:val="24"/>
        </w:rPr>
      </w:pPr>
      <w:r>
        <w:rPr>
          <w:color w:val="000000"/>
          <w:sz w:val="24"/>
          <w:szCs w:val="24"/>
        </w:rPr>
        <w:t>11.1.6 não celebrar o contrato ou não entregar a documentação exigida para a contratação, quando convocado dentro do prazo de validade de sua proposta;</w:t>
      </w:r>
    </w:p>
    <w:p w14:paraId="0BF43360">
      <w:pPr>
        <w:spacing w:line="288" w:lineRule="auto"/>
        <w:contextualSpacing/>
        <w:jc w:val="both"/>
        <w:rPr>
          <w:sz w:val="24"/>
          <w:szCs w:val="24"/>
        </w:rPr>
      </w:pPr>
    </w:p>
    <w:p w14:paraId="3263AAC4">
      <w:pPr>
        <w:spacing w:line="288" w:lineRule="auto"/>
        <w:contextualSpacing/>
        <w:jc w:val="both"/>
        <w:rPr>
          <w:sz w:val="24"/>
          <w:szCs w:val="24"/>
        </w:rPr>
      </w:pPr>
      <w:r>
        <w:rPr>
          <w:sz w:val="24"/>
          <w:szCs w:val="24"/>
        </w:rPr>
        <w:t>11.1.6.1 recusar-se, sem justificativa, a assinar o contrato ou a ata de registro de preço, ou a aceitar ou retirar o instrumento equivalente no prazo estabelecido pela Administração;</w:t>
      </w:r>
    </w:p>
    <w:p w14:paraId="349AE038">
      <w:pPr>
        <w:spacing w:line="288" w:lineRule="auto"/>
        <w:contextualSpacing/>
        <w:jc w:val="both"/>
        <w:rPr>
          <w:color w:val="000000"/>
          <w:sz w:val="24"/>
          <w:szCs w:val="24"/>
        </w:rPr>
      </w:pPr>
    </w:p>
    <w:p w14:paraId="349894F8">
      <w:pPr>
        <w:spacing w:line="288" w:lineRule="auto"/>
        <w:contextualSpacing/>
        <w:jc w:val="both"/>
        <w:rPr>
          <w:color w:val="000000"/>
          <w:sz w:val="24"/>
          <w:szCs w:val="24"/>
        </w:rPr>
      </w:pPr>
      <w:r>
        <w:rPr>
          <w:color w:val="000000"/>
          <w:sz w:val="24"/>
          <w:szCs w:val="24"/>
        </w:rPr>
        <w:t>11.1.7 ensejar o retardamento da execução ou da entrega do objeto da contratação sem motivo justificado;</w:t>
      </w:r>
    </w:p>
    <w:p w14:paraId="5C97B2A7">
      <w:pPr>
        <w:spacing w:line="288" w:lineRule="auto"/>
        <w:contextualSpacing/>
        <w:jc w:val="both"/>
        <w:rPr>
          <w:color w:val="000000"/>
          <w:sz w:val="24"/>
          <w:szCs w:val="24"/>
        </w:rPr>
      </w:pPr>
    </w:p>
    <w:p w14:paraId="42AD923A">
      <w:pPr>
        <w:spacing w:line="288" w:lineRule="auto"/>
        <w:contextualSpacing/>
        <w:jc w:val="both"/>
        <w:rPr>
          <w:color w:val="000000"/>
          <w:sz w:val="24"/>
          <w:szCs w:val="24"/>
        </w:rPr>
      </w:pPr>
      <w:r>
        <w:rPr>
          <w:color w:val="000000"/>
          <w:sz w:val="24"/>
          <w:szCs w:val="24"/>
        </w:rPr>
        <w:t>11.1.8 apresentar declaração ou documentação falsa exigida para o certame ou prestar declaração falsa durante o certame ou a execução do contrato;</w:t>
      </w:r>
    </w:p>
    <w:p w14:paraId="17CF8195">
      <w:pPr>
        <w:spacing w:line="288" w:lineRule="auto"/>
        <w:contextualSpacing/>
        <w:jc w:val="both"/>
        <w:rPr>
          <w:color w:val="000000"/>
          <w:sz w:val="24"/>
          <w:szCs w:val="24"/>
        </w:rPr>
      </w:pPr>
    </w:p>
    <w:p w14:paraId="0EAAE1B0">
      <w:pPr>
        <w:spacing w:line="288" w:lineRule="auto"/>
        <w:contextualSpacing/>
        <w:jc w:val="both"/>
        <w:rPr>
          <w:color w:val="000000"/>
          <w:sz w:val="24"/>
          <w:szCs w:val="24"/>
        </w:rPr>
      </w:pPr>
      <w:r>
        <w:rPr>
          <w:color w:val="000000"/>
          <w:sz w:val="24"/>
          <w:szCs w:val="24"/>
        </w:rPr>
        <w:t>11.1.9 fraudar o certame ou praticar ato fraudulento na execução do contrato;</w:t>
      </w:r>
    </w:p>
    <w:p w14:paraId="4CA0C506">
      <w:pPr>
        <w:spacing w:line="288" w:lineRule="auto"/>
        <w:contextualSpacing/>
        <w:jc w:val="both"/>
        <w:rPr>
          <w:color w:val="000000"/>
          <w:sz w:val="24"/>
          <w:szCs w:val="24"/>
        </w:rPr>
      </w:pPr>
    </w:p>
    <w:p w14:paraId="4EB357D6">
      <w:pPr>
        <w:spacing w:line="288" w:lineRule="auto"/>
        <w:contextualSpacing/>
        <w:jc w:val="both"/>
        <w:rPr>
          <w:color w:val="000000"/>
          <w:sz w:val="24"/>
          <w:szCs w:val="24"/>
        </w:rPr>
      </w:pPr>
      <w:r>
        <w:rPr>
          <w:color w:val="000000"/>
          <w:sz w:val="24"/>
          <w:szCs w:val="24"/>
        </w:rPr>
        <w:t>11.1.10 comportar-se de modo inidôneo ou cometer fraude de qualquer natureza, em especial quando:</w:t>
      </w:r>
    </w:p>
    <w:p w14:paraId="513D92B8">
      <w:pPr>
        <w:spacing w:line="288" w:lineRule="auto"/>
        <w:contextualSpacing/>
        <w:jc w:val="both"/>
        <w:rPr>
          <w:sz w:val="24"/>
          <w:szCs w:val="24"/>
        </w:rPr>
      </w:pPr>
    </w:p>
    <w:p w14:paraId="42327EDA">
      <w:pPr>
        <w:spacing w:line="288" w:lineRule="auto"/>
        <w:contextualSpacing/>
        <w:jc w:val="both"/>
        <w:rPr>
          <w:sz w:val="24"/>
          <w:szCs w:val="24"/>
        </w:rPr>
      </w:pPr>
      <w:r>
        <w:rPr>
          <w:sz w:val="24"/>
          <w:szCs w:val="24"/>
        </w:rPr>
        <w:t xml:space="preserve">11.1.10.1 agir em conluio ou em desconformidade com a lei; </w:t>
      </w:r>
    </w:p>
    <w:p w14:paraId="26393B27">
      <w:pPr>
        <w:spacing w:line="288" w:lineRule="auto"/>
        <w:contextualSpacing/>
        <w:jc w:val="both"/>
        <w:rPr>
          <w:sz w:val="24"/>
          <w:szCs w:val="24"/>
        </w:rPr>
      </w:pPr>
    </w:p>
    <w:p w14:paraId="7C9F055B">
      <w:pPr>
        <w:spacing w:line="288" w:lineRule="auto"/>
        <w:contextualSpacing/>
        <w:jc w:val="both"/>
        <w:rPr>
          <w:sz w:val="24"/>
          <w:szCs w:val="24"/>
        </w:rPr>
      </w:pPr>
      <w:r>
        <w:rPr>
          <w:sz w:val="24"/>
          <w:szCs w:val="24"/>
        </w:rPr>
        <w:t xml:space="preserve">11.1.10.2 induzir deliberadamente a erro no julgamento; </w:t>
      </w:r>
    </w:p>
    <w:p w14:paraId="7B9D6B1E">
      <w:pPr>
        <w:spacing w:line="288" w:lineRule="auto"/>
        <w:contextualSpacing/>
        <w:jc w:val="both"/>
        <w:rPr>
          <w:sz w:val="24"/>
          <w:szCs w:val="24"/>
        </w:rPr>
      </w:pPr>
    </w:p>
    <w:p w14:paraId="61234FDD">
      <w:pPr>
        <w:spacing w:line="288" w:lineRule="auto"/>
        <w:contextualSpacing/>
        <w:jc w:val="both"/>
        <w:rPr>
          <w:sz w:val="24"/>
          <w:szCs w:val="24"/>
        </w:rPr>
      </w:pPr>
      <w:r>
        <w:rPr>
          <w:sz w:val="24"/>
          <w:szCs w:val="24"/>
        </w:rPr>
        <w:t xml:space="preserve">11.1.10.3 apresentar amostra falsificada ou deteriorada; </w:t>
      </w:r>
    </w:p>
    <w:p w14:paraId="22BBB5C4">
      <w:pPr>
        <w:spacing w:line="288" w:lineRule="auto"/>
        <w:contextualSpacing/>
        <w:jc w:val="both"/>
        <w:rPr>
          <w:sz w:val="24"/>
          <w:szCs w:val="24"/>
        </w:rPr>
      </w:pPr>
    </w:p>
    <w:p w14:paraId="1638E9EF">
      <w:pPr>
        <w:spacing w:line="288" w:lineRule="auto"/>
        <w:contextualSpacing/>
        <w:jc w:val="both"/>
        <w:rPr>
          <w:sz w:val="24"/>
          <w:szCs w:val="24"/>
        </w:rPr>
      </w:pPr>
      <w:r>
        <w:rPr>
          <w:sz w:val="24"/>
          <w:szCs w:val="24"/>
        </w:rPr>
        <w:t xml:space="preserve">11.1.10.4 apresentar declaração falsa quanto às condições de participação ou quanto ao enquadramento como ME/EPP; </w:t>
      </w:r>
    </w:p>
    <w:p w14:paraId="2073457A">
      <w:pPr>
        <w:spacing w:line="288" w:lineRule="auto"/>
        <w:contextualSpacing/>
        <w:jc w:val="both"/>
        <w:rPr>
          <w:color w:val="000000"/>
          <w:sz w:val="24"/>
          <w:szCs w:val="24"/>
        </w:rPr>
      </w:pPr>
    </w:p>
    <w:p w14:paraId="013D1006">
      <w:pPr>
        <w:spacing w:line="288" w:lineRule="auto"/>
        <w:contextualSpacing/>
        <w:jc w:val="both"/>
        <w:rPr>
          <w:color w:val="000000"/>
          <w:sz w:val="24"/>
          <w:szCs w:val="24"/>
        </w:rPr>
      </w:pPr>
      <w:r>
        <w:rPr>
          <w:color w:val="000000"/>
          <w:sz w:val="24"/>
          <w:szCs w:val="24"/>
        </w:rPr>
        <w:t>11.1.11 praticar atos ilícitos com vistas a frustrar os objetivos do certame;</w:t>
      </w:r>
    </w:p>
    <w:p w14:paraId="1E9C5A39">
      <w:pPr>
        <w:spacing w:line="288" w:lineRule="auto"/>
        <w:contextualSpacing/>
        <w:jc w:val="both"/>
        <w:rPr>
          <w:color w:val="000000"/>
          <w:sz w:val="24"/>
          <w:szCs w:val="24"/>
        </w:rPr>
      </w:pPr>
    </w:p>
    <w:p w14:paraId="6F3DFE58">
      <w:pPr>
        <w:spacing w:line="288" w:lineRule="auto"/>
        <w:contextualSpacing/>
        <w:jc w:val="both"/>
        <w:rPr>
          <w:rStyle w:val="14"/>
          <w:rFonts w:eastAsiaTheme="minorHAnsi"/>
          <w:color w:val="000000"/>
          <w:sz w:val="24"/>
          <w:szCs w:val="24"/>
        </w:rPr>
      </w:pPr>
      <w:r>
        <w:rPr>
          <w:color w:val="000000"/>
          <w:sz w:val="24"/>
          <w:szCs w:val="24"/>
        </w:rPr>
        <w:t>11.1.12 praticar ato lesivo previsto no </w:t>
      </w:r>
      <w:r>
        <w:fldChar w:fldCharType="begin"/>
      </w:r>
      <w:r>
        <w:instrText xml:space="preserve"> HYPERLINK "http://www.planalto.gov.br/ccivil_03/_Ato2011-2014/2013/Lei/L12846.htm" \l "art5" </w:instrText>
      </w:r>
      <w:r>
        <w:fldChar w:fldCharType="separate"/>
      </w:r>
      <w:r>
        <w:rPr>
          <w:rStyle w:val="14"/>
          <w:rFonts w:eastAsiaTheme="minorHAnsi"/>
          <w:color w:val="000000"/>
          <w:sz w:val="24"/>
          <w:szCs w:val="24"/>
        </w:rPr>
        <w:t>art. 5º da Lei nº 12.846, de 1º de agosto de 2013.</w:t>
      </w:r>
      <w:r>
        <w:rPr>
          <w:rStyle w:val="14"/>
          <w:rFonts w:eastAsiaTheme="minorHAnsi"/>
          <w:color w:val="000000"/>
          <w:sz w:val="24"/>
          <w:szCs w:val="24"/>
        </w:rPr>
        <w:fldChar w:fldCharType="end"/>
      </w:r>
    </w:p>
    <w:p w14:paraId="38535FCE">
      <w:pPr>
        <w:spacing w:line="288" w:lineRule="auto"/>
        <w:contextualSpacing/>
        <w:jc w:val="both"/>
        <w:rPr>
          <w:sz w:val="24"/>
          <w:szCs w:val="24"/>
        </w:rPr>
      </w:pPr>
    </w:p>
    <w:p w14:paraId="718F3E5F">
      <w:pPr>
        <w:spacing w:line="288" w:lineRule="auto"/>
        <w:contextualSpacing/>
        <w:jc w:val="both"/>
        <w:rPr>
          <w:sz w:val="24"/>
          <w:szCs w:val="24"/>
        </w:rPr>
      </w:pPr>
      <w:r>
        <w:rPr>
          <w:sz w:val="24"/>
          <w:szCs w:val="24"/>
        </w:rPr>
        <w:t xml:space="preserve">11.2 O </w:t>
      </w:r>
      <w:r>
        <w:rPr>
          <w:b/>
          <w:bCs/>
          <w:color w:val="000000"/>
          <w:sz w:val="24"/>
          <w:szCs w:val="24"/>
        </w:rPr>
        <w:t>CONTRATADO</w:t>
      </w:r>
      <w:r>
        <w:rPr>
          <w:sz w:val="24"/>
          <w:szCs w:val="24"/>
        </w:rPr>
        <w:t xml:space="preserve"> que cometer qualquer das condutas discriminadas nos subitens anteriores ficará sujeito, sem prejuízo da responsabilidade civil e criminal, às seguintes sanções:</w:t>
      </w:r>
    </w:p>
    <w:p w14:paraId="1F58A8DE">
      <w:pPr>
        <w:spacing w:line="288" w:lineRule="auto"/>
        <w:contextualSpacing/>
        <w:jc w:val="both"/>
        <w:rPr>
          <w:sz w:val="24"/>
          <w:szCs w:val="24"/>
        </w:rPr>
      </w:pPr>
    </w:p>
    <w:p w14:paraId="275304EC">
      <w:pPr>
        <w:spacing w:line="288" w:lineRule="auto"/>
        <w:contextualSpacing/>
        <w:jc w:val="both"/>
        <w:rPr>
          <w:sz w:val="24"/>
          <w:szCs w:val="24"/>
        </w:rPr>
      </w:pPr>
      <w:r>
        <w:rPr>
          <w:sz w:val="24"/>
          <w:szCs w:val="24"/>
        </w:rPr>
        <w:t>11.2.1 Advertência, prevista no art. 156, I, § 2º, da Lei nº 14.133/2021, pela infração descrita no item 11.1.1, de menor potencial ofensivo, quando não se justificar a imposição de penalidade mais grave.</w:t>
      </w:r>
    </w:p>
    <w:p w14:paraId="36F09505">
      <w:pPr>
        <w:spacing w:line="288" w:lineRule="auto"/>
        <w:contextualSpacing/>
        <w:jc w:val="both"/>
        <w:rPr>
          <w:sz w:val="24"/>
          <w:szCs w:val="24"/>
        </w:rPr>
      </w:pPr>
    </w:p>
    <w:p w14:paraId="4691BF00">
      <w:pPr>
        <w:spacing w:line="288" w:lineRule="auto"/>
        <w:contextualSpacing/>
        <w:jc w:val="both"/>
        <w:rPr>
          <w:sz w:val="24"/>
          <w:szCs w:val="24"/>
        </w:rPr>
      </w:pPr>
      <w:r>
        <w:rPr>
          <w:sz w:val="24"/>
          <w:szCs w:val="24"/>
        </w:rPr>
        <w:t xml:space="preserve">11.2.2 Multa administrativa, prevista no art. 156, II, § 3º, da Lei nº 14.133/2021, pela infração dos subitens 11.1.1 a 11.1.12, que não </w:t>
      </w:r>
      <w:r>
        <w:rPr>
          <w:color w:val="000000"/>
          <w:sz w:val="24"/>
          <w:szCs w:val="24"/>
        </w:rPr>
        <w:t>poderá ser inferior a 0,5% (cinco décimos por cento) nem superior a 30% (trinta por cento) do valor do Contrato</w:t>
      </w:r>
      <w:r>
        <w:rPr>
          <w:sz w:val="24"/>
          <w:szCs w:val="24"/>
        </w:rPr>
        <w:t>, devendo ser observados os seguintes parâmetros:</w:t>
      </w:r>
    </w:p>
    <w:p w14:paraId="60594933">
      <w:pPr>
        <w:spacing w:line="288" w:lineRule="auto"/>
        <w:contextualSpacing/>
        <w:jc w:val="both"/>
        <w:rPr>
          <w:color w:val="000000" w:themeColor="text1"/>
          <w:sz w:val="24"/>
          <w:szCs w:val="24"/>
          <w14:textFill>
            <w14:solidFill>
              <w14:schemeClr w14:val="tx1"/>
            </w14:solidFill>
          </w14:textFill>
        </w:rPr>
      </w:pPr>
      <w:r>
        <w:rPr>
          <w:sz w:val="24"/>
          <w:szCs w:val="24"/>
        </w:rPr>
        <w:t xml:space="preserve">a) multa de 0,5% a 1,5%, nos casos da infração prevista </w:t>
      </w:r>
      <w:r>
        <w:rPr>
          <w:color w:val="000000" w:themeColor="text1"/>
          <w:sz w:val="24"/>
          <w:szCs w:val="24"/>
          <w14:textFill>
            <w14:solidFill>
              <w14:schemeClr w14:val="tx1"/>
            </w14:solidFill>
          </w14:textFill>
        </w:rPr>
        <w:t xml:space="preserve">no subitem 11.1.1, incidente sobre o valor anual do Contrato; </w:t>
      </w:r>
    </w:p>
    <w:p w14:paraId="5C5A2070">
      <w:pPr>
        <w:spacing w:line="288" w:lineRule="auto"/>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b) multa de 0,5% a 15%, nos casos das infrações previstas nos subitens 11.1.2 a 11.1.7, incidente sobre o valor anual do Contrato;</w:t>
      </w:r>
    </w:p>
    <w:p w14:paraId="089B4CA5">
      <w:pPr>
        <w:spacing w:line="288" w:lineRule="auto"/>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c) multa de 5% a 30%, nos casos das infrações previstas nos subitens 11.1.8 a 11.1.12, incidente sobre o valor anual do Contrato;</w:t>
      </w:r>
    </w:p>
    <w:p w14:paraId="48D81541">
      <w:pPr>
        <w:spacing w:line="288" w:lineRule="auto"/>
        <w:contextualSpacing/>
        <w:jc w:val="both"/>
        <w:rPr>
          <w:color w:val="000000" w:themeColor="text1"/>
          <w:sz w:val="24"/>
          <w:szCs w:val="24"/>
          <w14:textFill>
            <w14:solidFill>
              <w14:schemeClr w14:val="tx1"/>
            </w14:solidFill>
          </w14:textFill>
        </w:rPr>
      </w:pPr>
    </w:p>
    <w:p w14:paraId="24B44B1D">
      <w:pPr>
        <w:spacing w:line="288" w:lineRule="auto"/>
        <w:contextualSpacing/>
        <w:jc w:val="both"/>
        <w:rPr>
          <w:sz w:val="24"/>
          <w:szCs w:val="24"/>
        </w:rPr>
      </w:pPr>
      <w:r>
        <w:rPr>
          <w:sz w:val="24"/>
          <w:szCs w:val="24"/>
        </w:rPr>
        <w:t>11.2.2.1 Na hipótese de a infração ser cometida antes da celebração do contrato, a base de cálculo da multa do item 11.2.2 será o valor anual estimado da contratação.</w:t>
      </w:r>
    </w:p>
    <w:p w14:paraId="33B24B9D">
      <w:pPr>
        <w:spacing w:line="288" w:lineRule="auto"/>
        <w:contextualSpacing/>
        <w:jc w:val="both"/>
        <w:rPr>
          <w:b/>
          <w:bCs/>
          <w:color w:val="FF0000"/>
          <w:sz w:val="24"/>
          <w:szCs w:val="24"/>
        </w:rPr>
      </w:pPr>
    </w:p>
    <w:p w14:paraId="5A0B82BA">
      <w:pPr>
        <w:spacing w:line="288" w:lineRule="auto"/>
        <w:contextualSpacing/>
        <w:jc w:val="both"/>
        <w:rPr>
          <w:sz w:val="24"/>
          <w:szCs w:val="24"/>
        </w:rPr>
      </w:pPr>
      <w:r>
        <w:rPr>
          <w:sz w:val="24"/>
          <w:szCs w:val="24"/>
        </w:rPr>
        <w:t>11.2.2.2    Em caso de reincidência, o valor total das multas administrativas aplicadas não poderá exceder o limite de 30% (trinta por cento) sobre o valor total do Contrato.</w:t>
      </w:r>
    </w:p>
    <w:p w14:paraId="06A2F85C">
      <w:pPr>
        <w:spacing w:line="288" w:lineRule="auto"/>
        <w:contextualSpacing/>
        <w:jc w:val="both"/>
        <w:rPr>
          <w:sz w:val="24"/>
          <w:szCs w:val="24"/>
        </w:rPr>
      </w:pPr>
    </w:p>
    <w:p w14:paraId="351E8C48">
      <w:pPr>
        <w:spacing w:line="288" w:lineRule="auto"/>
        <w:contextualSpacing/>
        <w:jc w:val="both"/>
        <w:rPr>
          <w:sz w:val="24"/>
          <w:szCs w:val="24"/>
        </w:rPr>
      </w:pPr>
      <w:r>
        <w:rPr>
          <w:sz w:val="24"/>
          <w:szCs w:val="24"/>
        </w:rPr>
        <w:t xml:space="preserve">11.2.2.3 Se a multa aplicada e as indenizações cabíveis forem superiores ao valor de pagamento eventualmente devido pela Administração ao </w:t>
      </w:r>
      <w:r>
        <w:rPr>
          <w:b/>
          <w:bCs/>
          <w:color w:val="000000"/>
          <w:sz w:val="24"/>
          <w:szCs w:val="24"/>
        </w:rPr>
        <w:t>CONTRATADO</w:t>
      </w:r>
      <w:r>
        <w:rPr>
          <w:sz w:val="24"/>
          <w:szCs w:val="24"/>
        </w:rPr>
        <w:t>, além da perda desse valor, a diferença será descontada da garantia prestada ou será cobrada judicialmente, na forma do art. 156, § 8º, da Lei nº 14.133/2021, e conforme o procedimento previsto no item 11.13.</w:t>
      </w:r>
    </w:p>
    <w:p w14:paraId="6FF87C19">
      <w:pPr>
        <w:spacing w:line="288" w:lineRule="auto"/>
        <w:contextualSpacing/>
        <w:jc w:val="both"/>
        <w:rPr>
          <w:sz w:val="24"/>
          <w:szCs w:val="24"/>
        </w:rPr>
      </w:pPr>
    </w:p>
    <w:p w14:paraId="2ABDB209">
      <w:pPr>
        <w:spacing w:line="288" w:lineRule="auto"/>
        <w:contextualSpacing/>
        <w:jc w:val="both"/>
        <w:rPr>
          <w:sz w:val="24"/>
          <w:szCs w:val="24"/>
        </w:rPr>
      </w:pPr>
      <w:r>
        <w:rPr>
          <w:sz w:val="24"/>
          <w:szCs w:val="24"/>
        </w:rPr>
        <w:t>11.2.2.4 A penalidade de multa pode ser aplicada cumulativamente com as demais sanções, na forma do art. 156, § 7º, da Lei nº 14.133/2021.</w:t>
      </w:r>
    </w:p>
    <w:p w14:paraId="4A63CCEC">
      <w:pPr>
        <w:spacing w:line="288" w:lineRule="auto"/>
        <w:contextualSpacing/>
        <w:jc w:val="both"/>
        <w:rPr>
          <w:color w:val="000000"/>
          <w:sz w:val="24"/>
          <w:szCs w:val="24"/>
        </w:rPr>
      </w:pPr>
    </w:p>
    <w:p w14:paraId="71B968C7">
      <w:pPr>
        <w:spacing w:line="288" w:lineRule="auto"/>
        <w:contextualSpacing/>
        <w:jc w:val="both"/>
        <w:rPr>
          <w:rFonts w:eastAsia="Arial"/>
          <w:color w:val="000000"/>
          <w:sz w:val="24"/>
          <w:szCs w:val="24"/>
        </w:rPr>
      </w:pPr>
      <w:r>
        <w:rPr>
          <w:color w:val="000000"/>
          <w:sz w:val="24"/>
          <w:szCs w:val="24"/>
        </w:rPr>
        <w:t xml:space="preserve">11.2.3 Impedimento de licitar e contratar, prevista no </w:t>
      </w:r>
      <w:r>
        <w:rPr>
          <w:sz w:val="24"/>
          <w:szCs w:val="24"/>
        </w:rPr>
        <w:t xml:space="preserve">art. 156, III, § 4º, da Lei nº 14.133/2021, </w:t>
      </w:r>
      <w:r>
        <w:rPr>
          <w:color w:val="000000"/>
          <w:sz w:val="24"/>
          <w:szCs w:val="24"/>
        </w:rPr>
        <w:t>nos casos relacionados os subitens 11.1.2 a 11.1.7, quando não se justificar a imposição de penalidade mais grave, e impedirá o responsável de licitar ou contratar no âmbito da Administração Pública direta e indireta do Município, pelo prazo máximo de 3 (três) anos;</w:t>
      </w:r>
    </w:p>
    <w:p w14:paraId="70F57B79">
      <w:pPr>
        <w:spacing w:line="288" w:lineRule="auto"/>
        <w:contextualSpacing/>
        <w:jc w:val="both"/>
        <w:rPr>
          <w:color w:val="000000"/>
          <w:sz w:val="24"/>
          <w:szCs w:val="24"/>
        </w:rPr>
      </w:pPr>
    </w:p>
    <w:p w14:paraId="148EC16D">
      <w:pPr>
        <w:spacing w:line="288" w:lineRule="auto"/>
        <w:contextualSpacing/>
        <w:jc w:val="both"/>
        <w:rPr>
          <w:sz w:val="24"/>
          <w:szCs w:val="24"/>
        </w:rPr>
      </w:pPr>
      <w:r>
        <w:rPr>
          <w:color w:val="000000"/>
          <w:sz w:val="24"/>
          <w:szCs w:val="24"/>
        </w:rPr>
        <w:t>11.2.4 Declaração de inidoneidade para licitar ou contratar, prevista no a</w:t>
      </w:r>
      <w:r>
        <w:rPr>
          <w:rStyle w:val="102"/>
          <w:rFonts w:ascii="Times New Roman" w:hAnsi="Times New Roman" w:cs="Times New Roman"/>
          <w:sz w:val="24"/>
          <w:szCs w:val="24"/>
        </w:rPr>
        <w:t xml:space="preserve">rt. 156, IV, § 5º, da Lei nº 14.133/2021, </w:t>
      </w:r>
      <w:r>
        <w:rPr>
          <w:color w:val="000000"/>
          <w:sz w:val="24"/>
          <w:szCs w:val="24"/>
        </w:rPr>
        <w:t>nos casos relacionados nos subitens 11.1.8 a 11.1.12, bem como nos demais casos que justifiquem a imposição da penalidade mais grave, que impedirá o responsável de licitar ou contratar no âmbito da Administração Pública direta e indireta de todos os entes federativos, pelo prazo mínimo de 3 (três) anos e máximo de 6 (seis) anos</w:t>
      </w:r>
      <w:r>
        <w:rPr>
          <w:sz w:val="24"/>
          <w:szCs w:val="24"/>
        </w:rPr>
        <w:t>.</w:t>
      </w:r>
    </w:p>
    <w:p w14:paraId="439F3ECD">
      <w:pPr>
        <w:spacing w:line="288" w:lineRule="auto"/>
        <w:contextualSpacing/>
        <w:jc w:val="both"/>
        <w:rPr>
          <w:sz w:val="24"/>
          <w:szCs w:val="24"/>
        </w:rPr>
      </w:pPr>
    </w:p>
    <w:p w14:paraId="4F390DE5">
      <w:pPr>
        <w:spacing w:line="288" w:lineRule="auto"/>
        <w:contextualSpacing/>
        <w:jc w:val="both"/>
        <w:rPr>
          <w:sz w:val="24"/>
          <w:szCs w:val="24"/>
        </w:rPr>
      </w:pPr>
      <w:r>
        <w:rPr>
          <w:sz w:val="24"/>
          <w:szCs w:val="24"/>
        </w:rPr>
        <w:t xml:space="preserve">11.3 Sem prejuízo da multa administrativa prevista no art. 156, II, § 3º, da Lei nº 14.133/2021, o atraso injustificado no cumprimento das obrigações contratuais sujeitará o </w:t>
      </w:r>
      <w:r>
        <w:rPr>
          <w:b/>
          <w:bCs/>
          <w:color w:val="000000"/>
          <w:sz w:val="24"/>
          <w:szCs w:val="24"/>
        </w:rPr>
        <w:t>CONTRATADO</w:t>
      </w:r>
      <w:r>
        <w:rPr>
          <w:sz w:val="24"/>
          <w:szCs w:val="24"/>
        </w:rPr>
        <w:t>, independente de notificação, na forma do art. 408 do Código Civil, à multa de mora no percentual de 1% (um por cento) por dia útil que exceder o prazo estipulado, a incidir sobre o valor da nota de empenho ou do saldo não atendido, respeitado o limite de 30% (trinta por cento) do valor do Contrato.</w:t>
      </w:r>
    </w:p>
    <w:p w14:paraId="5AD6F8B6">
      <w:pPr>
        <w:spacing w:line="288" w:lineRule="auto"/>
        <w:contextualSpacing/>
        <w:jc w:val="both"/>
        <w:rPr>
          <w:sz w:val="24"/>
          <w:szCs w:val="24"/>
        </w:rPr>
      </w:pPr>
    </w:p>
    <w:p w14:paraId="041034E3">
      <w:pPr>
        <w:spacing w:line="288" w:lineRule="auto"/>
        <w:contextualSpacing/>
        <w:jc w:val="both"/>
        <w:rPr>
          <w:sz w:val="24"/>
          <w:szCs w:val="24"/>
        </w:rPr>
      </w:pPr>
      <w:r>
        <w:rPr>
          <w:sz w:val="24"/>
          <w:szCs w:val="24"/>
        </w:rPr>
        <w:t>11.3.1 Em caso de atraso injustificado para apresentação, suplementação ou reposição da garantia, a multa de mora será de 0,07% (sete centésimos por cento) sobre o valor total do Contrato por dia útil que exceder o prazo estipulado até o máximo de 2 % (dois por cento).</w:t>
      </w:r>
    </w:p>
    <w:p w14:paraId="7CC9A8FA">
      <w:pPr>
        <w:spacing w:line="288" w:lineRule="auto"/>
        <w:contextualSpacing/>
        <w:jc w:val="both"/>
        <w:rPr>
          <w:sz w:val="24"/>
          <w:szCs w:val="24"/>
        </w:rPr>
      </w:pPr>
    </w:p>
    <w:p w14:paraId="5F6467B8">
      <w:pPr>
        <w:spacing w:line="288" w:lineRule="auto"/>
        <w:contextualSpacing/>
        <w:jc w:val="both"/>
        <w:rPr>
          <w:sz w:val="24"/>
          <w:szCs w:val="24"/>
        </w:rPr>
      </w:pPr>
      <w:r>
        <w:rPr>
          <w:sz w:val="24"/>
          <w:szCs w:val="24"/>
        </w:rPr>
        <w:t>11.3.2 O atraso superior a 25 (vinte e cinco) dias no cumprimento da obrigação prevista no item 11.3.1 autoriza a Administração a promover a rescisão contratual por descumprimento ou cumprimento irregular de suas cláusulas.</w:t>
      </w:r>
    </w:p>
    <w:p w14:paraId="29EBE313">
      <w:pPr>
        <w:spacing w:line="288" w:lineRule="auto"/>
        <w:contextualSpacing/>
        <w:jc w:val="both"/>
        <w:rPr>
          <w:sz w:val="24"/>
          <w:szCs w:val="24"/>
        </w:rPr>
      </w:pPr>
    </w:p>
    <w:p w14:paraId="59731296">
      <w:pPr>
        <w:spacing w:line="288" w:lineRule="auto"/>
        <w:contextualSpacing/>
        <w:jc w:val="both"/>
        <w:rPr>
          <w:sz w:val="24"/>
          <w:szCs w:val="24"/>
        </w:rPr>
      </w:pPr>
    </w:p>
    <w:p w14:paraId="2E9CF7A9">
      <w:pPr>
        <w:spacing w:line="288" w:lineRule="auto"/>
        <w:contextualSpacing/>
        <w:jc w:val="both"/>
        <w:rPr>
          <w:sz w:val="24"/>
          <w:szCs w:val="24"/>
        </w:rPr>
      </w:pPr>
      <w:r>
        <w:rPr>
          <w:sz w:val="24"/>
          <w:szCs w:val="24"/>
        </w:rPr>
        <w:t>11.3.3 A aplicação de multa de mora não impedirá que a Administração a converta em compensatória e promova a extinção unilateral do Contrato com a aplicação cumulada de outras sanções previstas neste Contrato.</w:t>
      </w:r>
    </w:p>
    <w:p w14:paraId="56D5C8D6">
      <w:pPr>
        <w:spacing w:line="288" w:lineRule="auto"/>
        <w:contextualSpacing/>
        <w:jc w:val="both"/>
        <w:rPr>
          <w:sz w:val="24"/>
          <w:szCs w:val="24"/>
        </w:rPr>
      </w:pPr>
    </w:p>
    <w:p w14:paraId="6286ADA8">
      <w:pPr>
        <w:spacing w:line="288" w:lineRule="auto"/>
        <w:contextualSpacing/>
        <w:jc w:val="both"/>
        <w:rPr>
          <w:sz w:val="24"/>
          <w:szCs w:val="24"/>
        </w:rPr>
      </w:pPr>
      <w:r>
        <w:rPr>
          <w:sz w:val="24"/>
          <w:szCs w:val="24"/>
        </w:rPr>
        <w:t>11.4 No caso de inexecução total ou parcial do objeto, que acarrete a rescisão do Contrato, será automaticamente devida multa compensatória no valor de 5</w:t>
      </w:r>
      <w:r>
        <w:rPr>
          <w:color w:val="FF0000"/>
          <w:sz w:val="24"/>
          <w:szCs w:val="24"/>
        </w:rPr>
        <w:t xml:space="preserve"> </w:t>
      </w:r>
      <w:r>
        <w:rPr>
          <w:sz w:val="24"/>
          <w:szCs w:val="24"/>
        </w:rPr>
        <w:t>% (cinco por cento)  do valor do Contrato.</w:t>
      </w:r>
    </w:p>
    <w:p w14:paraId="63C0DFCB">
      <w:pPr>
        <w:spacing w:line="288" w:lineRule="auto"/>
        <w:contextualSpacing/>
        <w:jc w:val="both"/>
        <w:rPr>
          <w:b/>
          <w:bCs/>
          <w:color w:val="FF0000"/>
          <w:sz w:val="24"/>
          <w:szCs w:val="24"/>
        </w:rPr>
      </w:pPr>
    </w:p>
    <w:p w14:paraId="79565FCF">
      <w:pPr>
        <w:spacing w:line="288" w:lineRule="auto"/>
        <w:contextualSpacing/>
        <w:jc w:val="both"/>
        <w:rPr>
          <w:sz w:val="24"/>
          <w:szCs w:val="24"/>
        </w:rPr>
      </w:pPr>
      <w:r>
        <w:rPr>
          <w:sz w:val="24"/>
          <w:szCs w:val="24"/>
        </w:rPr>
        <w:t>11.4.1 A multa compensatória, isoladamente aplicada ou quando somada ao valor da multa moratória convertida, não poderá exceder o limite previsto no art. 412 do Código Civil, ou seja, o valor da obrigação principal.</w:t>
      </w:r>
    </w:p>
    <w:p w14:paraId="01A68C14">
      <w:pPr>
        <w:spacing w:line="288" w:lineRule="auto"/>
        <w:contextualSpacing/>
        <w:jc w:val="both"/>
        <w:rPr>
          <w:sz w:val="24"/>
          <w:szCs w:val="24"/>
        </w:rPr>
      </w:pPr>
    </w:p>
    <w:p w14:paraId="6D5882C0">
      <w:pPr>
        <w:spacing w:line="288" w:lineRule="auto"/>
        <w:contextualSpacing/>
        <w:jc w:val="both"/>
        <w:rPr>
          <w:sz w:val="24"/>
          <w:szCs w:val="24"/>
        </w:rPr>
      </w:pPr>
      <w:r>
        <w:rPr>
          <w:sz w:val="24"/>
          <w:szCs w:val="24"/>
        </w:rPr>
        <w:t xml:space="preserve">11.5 Na aplicação das sanções serão considerados os seguintes requisitos, previstos no art. </w:t>
      </w:r>
      <w:r>
        <w:rPr>
          <w:rStyle w:val="102"/>
          <w:rFonts w:ascii="Times New Roman" w:hAnsi="Times New Roman" w:cs="Times New Roman"/>
          <w:sz w:val="24"/>
          <w:szCs w:val="24"/>
        </w:rPr>
        <w:t>156, § 1º, incisos I a V, da Lei nº 14.133/2021</w:t>
      </w:r>
      <w:r>
        <w:rPr>
          <w:sz w:val="24"/>
          <w:szCs w:val="24"/>
        </w:rPr>
        <w:t>:</w:t>
      </w:r>
    </w:p>
    <w:p w14:paraId="779CF563">
      <w:pPr>
        <w:spacing w:line="288" w:lineRule="auto"/>
        <w:contextualSpacing/>
        <w:jc w:val="both"/>
        <w:rPr>
          <w:sz w:val="24"/>
          <w:szCs w:val="24"/>
        </w:rPr>
      </w:pPr>
    </w:p>
    <w:p w14:paraId="5B7EC316">
      <w:pPr>
        <w:spacing w:line="288" w:lineRule="auto"/>
        <w:contextualSpacing/>
        <w:jc w:val="both"/>
        <w:rPr>
          <w:sz w:val="24"/>
          <w:szCs w:val="24"/>
        </w:rPr>
      </w:pPr>
      <w:r>
        <w:rPr>
          <w:sz w:val="24"/>
          <w:szCs w:val="24"/>
        </w:rPr>
        <w:t>11.5.1 a natureza e a gravidade da infração cometida;</w:t>
      </w:r>
    </w:p>
    <w:p w14:paraId="290F0107">
      <w:pPr>
        <w:spacing w:line="288" w:lineRule="auto"/>
        <w:contextualSpacing/>
        <w:jc w:val="both"/>
        <w:rPr>
          <w:sz w:val="24"/>
          <w:szCs w:val="24"/>
        </w:rPr>
      </w:pPr>
    </w:p>
    <w:p w14:paraId="3FA741CF">
      <w:pPr>
        <w:spacing w:line="288" w:lineRule="auto"/>
        <w:contextualSpacing/>
        <w:jc w:val="both"/>
        <w:rPr>
          <w:sz w:val="24"/>
          <w:szCs w:val="24"/>
        </w:rPr>
      </w:pPr>
      <w:r>
        <w:rPr>
          <w:sz w:val="24"/>
          <w:szCs w:val="24"/>
        </w:rPr>
        <w:t>11.5.2 as peculiaridades do caso concreto;</w:t>
      </w:r>
    </w:p>
    <w:p w14:paraId="0E947AFE">
      <w:pPr>
        <w:spacing w:line="288" w:lineRule="auto"/>
        <w:contextualSpacing/>
        <w:jc w:val="both"/>
        <w:rPr>
          <w:sz w:val="24"/>
          <w:szCs w:val="24"/>
        </w:rPr>
      </w:pPr>
    </w:p>
    <w:p w14:paraId="713F1F1D">
      <w:pPr>
        <w:spacing w:line="288" w:lineRule="auto"/>
        <w:contextualSpacing/>
        <w:jc w:val="both"/>
        <w:rPr>
          <w:sz w:val="24"/>
          <w:szCs w:val="24"/>
        </w:rPr>
      </w:pPr>
      <w:r>
        <w:rPr>
          <w:sz w:val="24"/>
          <w:szCs w:val="24"/>
        </w:rPr>
        <w:t>11.5.3 as circunstâncias agravantes ou atenuantes;</w:t>
      </w:r>
    </w:p>
    <w:p w14:paraId="1D998842">
      <w:pPr>
        <w:spacing w:line="288" w:lineRule="auto"/>
        <w:contextualSpacing/>
        <w:jc w:val="both"/>
        <w:rPr>
          <w:sz w:val="24"/>
          <w:szCs w:val="24"/>
        </w:rPr>
      </w:pPr>
    </w:p>
    <w:p w14:paraId="260D1509">
      <w:pPr>
        <w:spacing w:line="288" w:lineRule="auto"/>
        <w:contextualSpacing/>
        <w:jc w:val="both"/>
        <w:rPr>
          <w:sz w:val="24"/>
          <w:szCs w:val="24"/>
        </w:rPr>
      </w:pPr>
      <w:r>
        <w:rPr>
          <w:sz w:val="24"/>
          <w:szCs w:val="24"/>
        </w:rPr>
        <w:t>11.5.4 os danos que dela provierem para a Administração Pública;</w:t>
      </w:r>
    </w:p>
    <w:p w14:paraId="5EECB191">
      <w:pPr>
        <w:spacing w:line="288" w:lineRule="auto"/>
        <w:contextualSpacing/>
        <w:jc w:val="both"/>
        <w:rPr>
          <w:sz w:val="24"/>
          <w:szCs w:val="24"/>
        </w:rPr>
      </w:pPr>
    </w:p>
    <w:p w14:paraId="3964E377">
      <w:pPr>
        <w:spacing w:line="288" w:lineRule="auto"/>
        <w:contextualSpacing/>
        <w:jc w:val="both"/>
        <w:rPr>
          <w:sz w:val="24"/>
          <w:szCs w:val="24"/>
        </w:rPr>
      </w:pPr>
      <w:r>
        <w:rPr>
          <w:sz w:val="24"/>
          <w:szCs w:val="24"/>
        </w:rPr>
        <w:t>11.5.5 a implantação ou o aperfeiçoamento de programa de integridade, conforme normas e orientações dos órgãos de controle.</w:t>
      </w:r>
    </w:p>
    <w:p w14:paraId="6E771343">
      <w:pPr>
        <w:spacing w:line="288" w:lineRule="auto"/>
        <w:contextualSpacing/>
        <w:jc w:val="both"/>
        <w:rPr>
          <w:sz w:val="24"/>
          <w:szCs w:val="24"/>
        </w:rPr>
      </w:pPr>
    </w:p>
    <w:p w14:paraId="692AD2AB">
      <w:pPr>
        <w:spacing w:line="288" w:lineRule="auto"/>
        <w:contextualSpacing/>
        <w:jc w:val="both"/>
        <w:rPr>
          <w:sz w:val="24"/>
          <w:szCs w:val="24"/>
        </w:rPr>
      </w:pPr>
      <w:r>
        <w:rPr>
          <w:sz w:val="24"/>
          <w:szCs w:val="24"/>
        </w:rPr>
        <w:t xml:space="preserve">11.6 A imposição das penalidades é de competência exclusiva do órgão ou entidade contratante, sendo competentes para sua aplicação: </w:t>
      </w:r>
    </w:p>
    <w:p w14:paraId="2AE0E887">
      <w:pPr>
        <w:spacing w:line="288" w:lineRule="auto"/>
        <w:contextualSpacing/>
        <w:jc w:val="both"/>
        <w:rPr>
          <w:sz w:val="24"/>
          <w:szCs w:val="24"/>
        </w:rPr>
      </w:pPr>
      <w:r>
        <w:rPr>
          <w:sz w:val="24"/>
          <w:szCs w:val="24"/>
        </w:rPr>
        <w:t>a) as sanções previstas nos itens 11.2.1, 11.2.2 e 11.2.3 serão impostas pelo Ordenador de Despesa;</w:t>
      </w:r>
    </w:p>
    <w:p w14:paraId="114546EE">
      <w:pPr>
        <w:spacing w:line="288" w:lineRule="auto"/>
        <w:contextualSpacing/>
        <w:jc w:val="both"/>
        <w:rPr>
          <w:sz w:val="24"/>
          <w:szCs w:val="24"/>
        </w:rPr>
      </w:pPr>
      <w:r>
        <w:rPr>
          <w:sz w:val="24"/>
          <w:szCs w:val="24"/>
        </w:rPr>
        <w:t xml:space="preserve">b) a aplicação da sanção prevista no item 11.2.4, na forma do art. </w:t>
      </w:r>
      <w:r>
        <w:rPr>
          <w:rStyle w:val="102"/>
          <w:rFonts w:ascii="Times New Roman" w:hAnsi="Times New Roman" w:cs="Times New Roman"/>
          <w:sz w:val="24"/>
          <w:szCs w:val="24"/>
        </w:rPr>
        <w:t>156, § 6º, I, da Lei nº 14.133/2021,</w:t>
      </w:r>
      <w:r>
        <w:rPr>
          <w:sz w:val="24"/>
          <w:szCs w:val="24"/>
        </w:rPr>
        <w:t xml:space="preserve"> é de competência exclusiva:</w:t>
      </w:r>
    </w:p>
    <w:p w14:paraId="29BEE1AB">
      <w:pPr>
        <w:spacing w:line="288" w:lineRule="auto"/>
        <w:contextualSpacing/>
        <w:jc w:val="both"/>
        <w:rPr>
          <w:rStyle w:val="102"/>
          <w:rFonts w:ascii="Times New Roman" w:hAnsi="Times New Roman" w:cs="Times New Roman"/>
          <w:sz w:val="24"/>
          <w:szCs w:val="24"/>
        </w:rPr>
      </w:pPr>
      <w:r>
        <w:rPr>
          <w:sz w:val="24"/>
          <w:szCs w:val="24"/>
        </w:rPr>
        <w:t>b.1) em se tratando de contratação realizada pela Administração Pública direta, do Secretário de Município</w:t>
      </w:r>
      <w:r>
        <w:rPr>
          <w:rStyle w:val="102"/>
          <w:rFonts w:ascii="Times New Roman" w:hAnsi="Times New Roman" w:cs="Times New Roman"/>
          <w:sz w:val="24"/>
          <w:szCs w:val="24"/>
        </w:rPr>
        <w:t>;</w:t>
      </w:r>
    </w:p>
    <w:p w14:paraId="1AE4225C">
      <w:pPr>
        <w:spacing w:line="288" w:lineRule="auto"/>
        <w:contextualSpacing/>
        <w:jc w:val="both"/>
        <w:rPr>
          <w:sz w:val="24"/>
          <w:szCs w:val="24"/>
        </w:rPr>
      </w:pPr>
      <w:r>
        <w:rPr>
          <w:rStyle w:val="102"/>
          <w:rFonts w:ascii="Times New Roman" w:hAnsi="Times New Roman" w:cs="Times New Roman"/>
          <w:sz w:val="24"/>
          <w:szCs w:val="24"/>
        </w:rPr>
        <w:t>b.2) e</w:t>
      </w:r>
      <w:r>
        <w:rPr>
          <w:sz w:val="24"/>
          <w:szCs w:val="24"/>
        </w:rPr>
        <w:t>m se tratando de contratação realizada pela Administração Pública Indireta (fundação e autarquia), da autoridade máxima da entidade.</w:t>
      </w:r>
    </w:p>
    <w:p w14:paraId="3D06D09B">
      <w:pPr>
        <w:spacing w:line="288" w:lineRule="auto"/>
        <w:contextualSpacing/>
        <w:jc w:val="both"/>
        <w:rPr>
          <w:sz w:val="24"/>
          <w:szCs w:val="24"/>
        </w:rPr>
      </w:pPr>
    </w:p>
    <w:p w14:paraId="497D9217">
      <w:pPr>
        <w:spacing w:line="288" w:lineRule="auto"/>
        <w:contextualSpacing/>
        <w:jc w:val="both"/>
        <w:rPr>
          <w:sz w:val="24"/>
          <w:szCs w:val="24"/>
        </w:rPr>
      </w:pPr>
      <w:r>
        <w:rPr>
          <w:sz w:val="24"/>
          <w:szCs w:val="24"/>
        </w:rPr>
        <w:t xml:space="preserve">11.7 A aplicação de quaisquer das penalidades realizar-se-á em processo administrativo que assegurará o contraditório e a ampla defesa ao </w:t>
      </w:r>
      <w:r>
        <w:rPr>
          <w:b/>
          <w:bCs/>
          <w:color w:val="000000"/>
          <w:sz w:val="24"/>
          <w:szCs w:val="24"/>
        </w:rPr>
        <w:t>CONTRATADO</w:t>
      </w:r>
      <w:r>
        <w:rPr>
          <w:sz w:val="24"/>
          <w:szCs w:val="24"/>
        </w:rPr>
        <w:t xml:space="preserve">, na forma do art. </w:t>
      </w:r>
      <w:r>
        <w:rPr>
          <w:rStyle w:val="102"/>
          <w:rFonts w:ascii="Times New Roman" w:hAnsi="Times New Roman" w:cs="Times New Roman"/>
          <w:sz w:val="24"/>
          <w:szCs w:val="24"/>
        </w:rPr>
        <w:t>156, § 6º, I, da Lei nº 14.133/2021</w:t>
      </w:r>
      <w:r>
        <w:rPr>
          <w:sz w:val="24"/>
          <w:szCs w:val="24"/>
        </w:rPr>
        <w:t>, devendo ser observado o procedimento previsto na Lei nº 14.133/2021.</w:t>
      </w:r>
    </w:p>
    <w:p w14:paraId="715A56A4">
      <w:pPr>
        <w:spacing w:line="288" w:lineRule="auto"/>
        <w:contextualSpacing/>
        <w:jc w:val="both"/>
        <w:rPr>
          <w:sz w:val="24"/>
          <w:szCs w:val="24"/>
        </w:rPr>
      </w:pPr>
    </w:p>
    <w:p w14:paraId="31BACD10">
      <w:pPr>
        <w:spacing w:line="288" w:lineRule="auto"/>
        <w:contextualSpacing/>
        <w:jc w:val="both"/>
        <w:rPr>
          <w:sz w:val="24"/>
          <w:szCs w:val="24"/>
        </w:rPr>
      </w:pPr>
      <w:r>
        <w:rPr>
          <w:sz w:val="24"/>
          <w:szCs w:val="24"/>
        </w:rPr>
        <w:t xml:space="preserve">11.7.1 A aplicação de sanção será antecedida de intimação do </w:t>
      </w:r>
      <w:r>
        <w:rPr>
          <w:b/>
          <w:bCs/>
          <w:color w:val="000000"/>
          <w:sz w:val="24"/>
          <w:szCs w:val="24"/>
        </w:rPr>
        <w:t>CONTRATADO</w:t>
      </w:r>
      <w:r>
        <w:rPr>
          <w:sz w:val="24"/>
          <w:szCs w:val="24"/>
        </w:rPr>
        <w:t>, que indicará a infração cometida, os fatos, os dispositivos do Contrato infringidos e os fundamentos legais pertinentes, a penalidade que se pretende imputar e o respectivo prazo e/ou valor, se for o caso, assim como o prazo e o local para a apresentação da defesa, com a possibilidade de produção de provas.</w:t>
      </w:r>
    </w:p>
    <w:p w14:paraId="66599F79">
      <w:pPr>
        <w:spacing w:line="288" w:lineRule="auto"/>
        <w:contextualSpacing/>
        <w:jc w:val="both"/>
        <w:rPr>
          <w:sz w:val="24"/>
          <w:szCs w:val="24"/>
        </w:rPr>
      </w:pPr>
    </w:p>
    <w:p w14:paraId="1747DBCC">
      <w:pPr>
        <w:spacing w:line="288" w:lineRule="auto"/>
        <w:contextualSpacing/>
        <w:jc w:val="both"/>
        <w:rPr>
          <w:sz w:val="24"/>
          <w:szCs w:val="24"/>
        </w:rPr>
      </w:pPr>
      <w:r>
        <w:rPr>
          <w:sz w:val="24"/>
          <w:szCs w:val="24"/>
        </w:rPr>
        <w:t xml:space="preserve">11.7.2 A defesa prévia do </w:t>
      </w:r>
      <w:r>
        <w:rPr>
          <w:b/>
          <w:bCs/>
          <w:color w:val="000000"/>
          <w:sz w:val="24"/>
          <w:szCs w:val="24"/>
        </w:rPr>
        <w:t>CONTRATADO</w:t>
      </w:r>
      <w:r>
        <w:rPr>
          <w:sz w:val="24"/>
          <w:szCs w:val="24"/>
        </w:rPr>
        <w:t xml:space="preserve"> será exercida no prazo de:</w:t>
      </w:r>
    </w:p>
    <w:p w14:paraId="3AC7D7BC">
      <w:pPr>
        <w:spacing w:line="288" w:lineRule="auto"/>
        <w:contextualSpacing/>
        <w:jc w:val="both"/>
        <w:rPr>
          <w:sz w:val="24"/>
          <w:szCs w:val="24"/>
        </w:rPr>
      </w:pPr>
      <w:r>
        <w:rPr>
          <w:sz w:val="24"/>
          <w:szCs w:val="24"/>
        </w:rPr>
        <w:t>a) 15 (quinze) dias úteis, no caso da aplicação das sanções previstas nos itens 11.2.1 e 11.2.2, contado da data da intimação;</w:t>
      </w:r>
    </w:p>
    <w:p w14:paraId="1FAC0ABC">
      <w:pPr>
        <w:spacing w:line="288" w:lineRule="auto"/>
        <w:contextualSpacing/>
        <w:jc w:val="both"/>
        <w:rPr>
          <w:color w:val="000000"/>
          <w:sz w:val="24"/>
          <w:szCs w:val="24"/>
        </w:rPr>
      </w:pPr>
      <w:r>
        <w:rPr>
          <w:sz w:val="24"/>
          <w:szCs w:val="24"/>
        </w:rPr>
        <w:t xml:space="preserve">b) 15 (quinze) dias úteis, no caso de aplicação das sanções previstas nos itens 11.2.3 e 11.2.4, </w:t>
      </w:r>
      <w:r>
        <w:rPr>
          <w:color w:val="000000"/>
          <w:sz w:val="24"/>
          <w:szCs w:val="24"/>
        </w:rPr>
        <w:t>contado da data da intimação, observado o procedimento estabelecido no art. 158 da Lei nº 14.133/2021.</w:t>
      </w:r>
    </w:p>
    <w:p w14:paraId="2624940F">
      <w:pPr>
        <w:pStyle w:val="19"/>
        <w:spacing w:line="288" w:lineRule="auto"/>
        <w:contextualSpacing/>
        <w:jc w:val="both"/>
      </w:pPr>
      <w:r>
        <w:t>11.7.3 Será emitida decisão conclusiva sobre a aplicação ou não da sanção, pela autoridade competente, devendo ser apresentada a devida motivação, com a demonstração dos fatos e dos respectivos fundamentos jurídicos.</w:t>
      </w:r>
    </w:p>
    <w:p w14:paraId="6450BB0B">
      <w:pPr>
        <w:spacing w:line="288" w:lineRule="auto"/>
        <w:contextualSpacing/>
        <w:jc w:val="both"/>
        <w:rPr>
          <w:sz w:val="24"/>
          <w:szCs w:val="24"/>
        </w:rPr>
      </w:pPr>
      <w:r>
        <w:rPr>
          <w:sz w:val="24"/>
          <w:szCs w:val="24"/>
        </w:rPr>
        <w:t>11.8 A aplicação das sanções previstas neste Contrato não exclui, em hipótese alguma:</w:t>
      </w:r>
    </w:p>
    <w:p w14:paraId="08248CA9">
      <w:pPr>
        <w:spacing w:line="288" w:lineRule="auto"/>
        <w:contextualSpacing/>
        <w:jc w:val="both"/>
        <w:rPr>
          <w:sz w:val="24"/>
          <w:szCs w:val="24"/>
        </w:rPr>
      </w:pPr>
      <w:r>
        <w:rPr>
          <w:sz w:val="24"/>
          <w:szCs w:val="24"/>
        </w:rPr>
        <w:t>a) a obrigação de reparação integral do dano causado à Administração Pública, na forma do art. 156, § 9º, da Lei nº 14.133/2021 e do art. 416, parágrafo único, do Código Civil; e</w:t>
      </w:r>
    </w:p>
    <w:p w14:paraId="7D34E5F0">
      <w:pPr>
        <w:spacing w:line="288" w:lineRule="auto"/>
        <w:contextualSpacing/>
        <w:jc w:val="both"/>
        <w:rPr>
          <w:rFonts w:eastAsia="Arial"/>
          <w:color w:val="000000"/>
          <w:sz w:val="24"/>
          <w:szCs w:val="24"/>
        </w:rPr>
      </w:pPr>
      <w:r>
        <w:rPr>
          <w:rFonts w:eastAsia="Arial"/>
          <w:color w:val="000000"/>
          <w:sz w:val="24"/>
          <w:szCs w:val="24"/>
        </w:rPr>
        <w:t>b) a possibilidade de rescisão administrativa do Contrato, na forma dos arts. 138 e 139 da Lei nº 14.133/2021, garantido o contraditório e a ampla defesa.</w:t>
      </w:r>
    </w:p>
    <w:p w14:paraId="71663161">
      <w:pPr>
        <w:spacing w:line="288" w:lineRule="auto"/>
        <w:contextualSpacing/>
        <w:jc w:val="both"/>
        <w:rPr>
          <w:rFonts w:eastAsia="Arial"/>
          <w:color w:val="000000"/>
          <w:sz w:val="24"/>
          <w:szCs w:val="24"/>
        </w:rPr>
      </w:pPr>
    </w:p>
    <w:p w14:paraId="7881468D">
      <w:pPr>
        <w:spacing w:line="288" w:lineRule="auto"/>
        <w:contextualSpacing/>
        <w:jc w:val="both"/>
        <w:rPr>
          <w:rFonts w:eastAsia="Arial"/>
          <w:color w:val="000000"/>
          <w:sz w:val="24"/>
          <w:szCs w:val="24"/>
        </w:rPr>
      </w:pPr>
      <w:r>
        <w:rPr>
          <w:rFonts w:eastAsia="Arial"/>
          <w:color w:val="000000"/>
          <w:sz w:val="24"/>
          <w:szCs w:val="24"/>
        </w:rPr>
        <w:t xml:space="preserve">11.8.1 Aplica-se o disposto na alínea a do item 11.8 à multa compensatória, nos termos do parágrafo único do art. 416 do Código Civil. </w:t>
      </w:r>
    </w:p>
    <w:p w14:paraId="127C9A38">
      <w:pPr>
        <w:spacing w:line="288" w:lineRule="auto"/>
        <w:contextualSpacing/>
        <w:jc w:val="both"/>
        <w:rPr>
          <w:rFonts w:eastAsia="Arial"/>
          <w:color w:val="000000"/>
          <w:sz w:val="24"/>
          <w:szCs w:val="24"/>
        </w:rPr>
      </w:pPr>
    </w:p>
    <w:p w14:paraId="513507B9">
      <w:pPr>
        <w:spacing w:line="288" w:lineRule="auto"/>
        <w:contextualSpacing/>
        <w:jc w:val="both"/>
        <w:rPr>
          <w:rFonts w:eastAsia="Arial"/>
          <w:color w:val="000000"/>
          <w:sz w:val="24"/>
          <w:szCs w:val="24"/>
        </w:rPr>
      </w:pPr>
      <w:r>
        <w:rPr>
          <w:rFonts w:eastAsia="Arial"/>
          <w:color w:val="000000"/>
          <w:sz w:val="24"/>
          <w:szCs w:val="24"/>
        </w:rPr>
        <w:t>11.9 As sanções de impedimento de licitar e contratar e de declaração de inidoneidade para licitar ou contratar são passíveis de reabilitação, observados os requisitos estabelecidos no art. 163 da Lei nº 14.133/2021.</w:t>
      </w:r>
    </w:p>
    <w:p w14:paraId="7A761294">
      <w:pPr>
        <w:spacing w:line="288" w:lineRule="auto"/>
        <w:contextualSpacing/>
        <w:jc w:val="both"/>
        <w:rPr>
          <w:sz w:val="24"/>
          <w:szCs w:val="24"/>
        </w:rPr>
      </w:pPr>
    </w:p>
    <w:p w14:paraId="1EB3B7D2">
      <w:pPr>
        <w:spacing w:line="288" w:lineRule="auto"/>
        <w:contextualSpacing/>
        <w:jc w:val="both"/>
        <w:rPr>
          <w:sz w:val="24"/>
          <w:szCs w:val="24"/>
        </w:rPr>
      </w:pPr>
      <w:r>
        <w:rPr>
          <w:sz w:val="24"/>
          <w:szCs w:val="24"/>
        </w:rPr>
        <w:t xml:space="preserve">11.10 Se, durante o processo de aplicação de penalidade, houver indícios de prática de infração administrativa tipificada pela Lei nº 12.846/2013, como ato lesivo à administração pública nacional,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6F9FB719">
      <w:pPr>
        <w:spacing w:line="288" w:lineRule="auto"/>
        <w:contextualSpacing/>
        <w:jc w:val="both"/>
        <w:rPr>
          <w:sz w:val="24"/>
          <w:szCs w:val="24"/>
        </w:rPr>
      </w:pPr>
    </w:p>
    <w:p w14:paraId="5D4022AE">
      <w:pPr>
        <w:spacing w:line="288" w:lineRule="auto"/>
        <w:contextualSpacing/>
        <w:jc w:val="both"/>
        <w:rPr>
          <w:sz w:val="24"/>
          <w:szCs w:val="24"/>
        </w:rPr>
      </w:pPr>
      <w:r>
        <w:rPr>
          <w:sz w:val="24"/>
          <w:szCs w:val="24"/>
        </w:rPr>
        <w:t>11.10.1 A apuração e o julgamento das demais infrações administrativas não consideradas como ato lesivo à Administração Pública nacional nos termos da Lei nº 12.846/2013 seguirão seu rito normal na unidade administrativa.</w:t>
      </w:r>
    </w:p>
    <w:p w14:paraId="007F5CEF">
      <w:pPr>
        <w:spacing w:line="288" w:lineRule="auto"/>
        <w:contextualSpacing/>
        <w:jc w:val="both"/>
        <w:rPr>
          <w:sz w:val="24"/>
          <w:szCs w:val="24"/>
        </w:rPr>
      </w:pPr>
    </w:p>
    <w:p w14:paraId="311CE9A2">
      <w:pPr>
        <w:spacing w:line="288" w:lineRule="auto"/>
        <w:contextualSpacing/>
        <w:jc w:val="both"/>
        <w:rPr>
          <w:sz w:val="24"/>
          <w:szCs w:val="24"/>
        </w:rPr>
      </w:pPr>
      <w:r>
        <w:rPr>
          <w:sz w:val="24"/>
          <w:szCs w:val="24"/>
        </w:rPr>
        <w:t>11.10.2 O processamento do PAR não interfere no seguimento regular dos processos administrativos específicos para apuração da ocorrência de danos e prejuízos à Administração Pública Municipal resultantes de ato lesivo cometido por pessoa jurídica, com ou sem a participação de agente público.</w:t>
      </w:r>
    </w:p>
    <w:p w14:paraId="3D3BB728">
      <w:pPr>
        <w:spacing w:line="288" w:lineRule="auto"/>
        <w:contextualSpacing/>
        <w:jc w:val="both"/>
        <w:rPr>
          <w:sz w:val="24"/>
          <w:szCs w:val="24"/>
        </w:rPr>
      </w:pPr>
    </w:p>
    <w:p w14:paraId="36EE4D90">
      <w:pPr>
        <w:spacing w:line="288" w:lineRule="auto"/>
        <w:contextualSpacing/>
        <w:jc w:val="both"/>
        <w:rPr>
          <w:sz w:val="24"/>
          <w:szCs w:val="24"/>
        </w:rPr>
      </w:pPr>
      <w:r>
        <w:rPr>
          <w:sz w:val="24"/>
          <w:szCs w:val="24"/>
        </w:rPr>
        <w:t>11.10.2.1 Caso seja possível, a apuração deverá ser promovida em conjunto no PAR.</w:t>
      </w:r>
    </w:p>
    <w:p w14:paraId="6F226F2B">
      <w:pPr>
        <w:spacing w:line="288" w:lineRule="auto"/>
        <w:contextualSpacing/>
        <w:jc w:val="both"/>
        <w:rPr>
          <w:sz w:val="24"/>
          <w:szCs w:val="24"/>
        </w:rPr>
      </w:pPr>
    </w:p>
    <w:p w14:paraId="170FA701">
      <w:pPr>
        <w:spacing w:line="288" w:lineRule="auto"/>
        <w:contextualSpacing/>
        <w:jc w:val="both"/>
        <w:rPr>
          <w:sz w:val="24"/>
          <w:szCs w:val="24"/>
        </w:rPr>
      </w:pPr>
      <w:r>
        <w:rPr>
          <w:sz w:val="24"/>
          <w:szCs w:val="24"/>
        </w:rPr>
        <w:t xml:space="preserve">11.11 Na hipótese de abertura de processo administrativo destinado a apuração de fatos e, se for o caso, aplicação de sanções ao </w:t>
      </w:r>
      <w:r>
        <w:rPr>
          <w:b/>
          <w:bCs/>
          <w:color w:val="000000"/>
          <w:sz w:val="24"/>
          <w:szCs w:val="24"/>
        </w:rPr>
        <w:t>CONTRATADO</w:t>
      </w:r>
      <w:r>
        <w:rPr>
          <w:sz w:val="24"/>
          <w:szCs w:val="24"/>
        </w:rPr>
        <w:t>, em decorrência de conduta vedada no contrato, as comunicações serão efetuadas por meio do endereço de correio eletrônico ("e-mail") cadastrado pela empresa junto ao Comprasnet.</w:t>
      </w:r>
    </w:p>
    <w:p w14:paraId="4E8697DF">
      <w:pPr>
        <w:autoSpaceDE w:val="0"/>
        <w:autoSpaceDN w:val="0"/>
        <w:adjustRightInd w:val="0"/>
        <w:spacing w:line="288" w:lineRule="auto"/>
        <w:contextualSpacing/>
        <w:jc w:val="both"/>
        <w:rPr>
          <w:sz w:val="24"/>
          <w:szCs w:val="24"/>
        </w:rPr>
      </w:pPr>
    </w:p>
    <w:p w14:paraId="1C7D1CEE">
      <w:pPr>
        <w:autoSpaceDE w:val="0"/>
        <w:autoSpaceDN w:val="0"/>
        <w:adjustRightInd w:val="0"/>
        <w:spacing w:line="288" w:lineRule="auto"/>
        <w:contextualSpacing/>
        <w:jc w:val="both"/>
        <w:rPr>
          <w:sz w:val="24"/>
          <w:szCs w:val="24"/>
        </w:rPr>
      </w:pPr>
      <w:r>
        <w:rPr>
          <w:sz w:val="24"/>
          <w:szCs w:val="24"/>
        </w:rPr>
        <w:t xml:space="preserve">11.11.1 O </w:t>
      </w:r>
      <w:r>
        <w:rPr>
          <w:b/>
          <w:bCs/>
          <w:color w:val="000000"/>
          <w:sz w:val="24"/>
          <w:szCs w:val="24"/>
        </w:rPr>
        <w:t>CONTRATADO</w:t>
      </w:r>
      <w:r>
        <w:rPr>
          <w:sz w:val="24"/>
          <w:szCs w:val="24"/>
        </w:rPr>
        <w:t xml:space="preserve"> deverá manter atualizado o endereço de correio eletrônico ("e-mail") cadastrado junto ao sistema eletrônico Comprasnet e confirmar o recebimento das mensagens encaminhadas pelo órgão ou entidade contratante, não podendo alegar o desconhecimento do recebimento das comunicações por este meio como justificativa para se eximir das responsabilidades assumidas ou eventuais sanções aplicadas.</w:t>
      </w:r>
    </w:p>
    <w:p w14:paraId="06CBA4EA">
      <w:pPr>
        <w:autoSpaceDE w:val="0"/>
        <w:autoSpaceDN w:val="0"/>
        <w:adjustRightInd w:val="0"/>
        <w:spacing w:line="288" w:lineRule="auto"/>
        <w:contextualSpacing/>
        <w:jc w:val="both"/>
        <w:rPr>
          <w:sz w:val="24"/>
          <w:szCs w:val="24"/>
        </w:rPr>
      </w:pPr>
    </w:p>
    <w:p w14:paraId="4D825F4D">
      <w:pPr>
        <w:autoSpaceDE w:val="0"/>
        <w:autoSpaceDN w:val="0"/>
        <w:adjustRightInd w:val="0"/>
        <w:spacing w:line="288" w:lineRule="auto"/>
        <w:contextualSpacing/>
        <w:jc w:val="both"/>
        <w:rPr>
          <w:sz w:val="24"/>
          <w:szCs w:val="24"/>
        </w:rPr>
      </w:pPr>
      <w:r>
        <w:rPr>
          <w:sz w:val="24"/>
          <w:szCs w:val="24"/>
        </w:rPr>
        <w:t xml:space="preserve">11.12 O </w:t>
      </w:r>
      <w:r>
        <w:rPr>
          <w:b/>
          <w:bCs/>
          <w:sz w:val="24"/>
          <w:szCs w:val="24"/>
        </w:rPr>
        <w:t>CONTRATANTE</w:t>
      </w:r>
      <w:r>
        <w:rPr>
          <w:sz w:val="24"/>
          <w:szCs w:val="24"/>
        </w:rPr>
        <w:t xml:space="preserve"> deverá remeter para os órgãos competentes o extrato de publicação no Boletim Oficial do Município, do ato de aplicação das sanções de impedimento de licitar e contratar e de declaração de inidoneidade para licitar e contratar, de modo a possibilitar a formalização da extensão dos seus efeitos para todos os órgãos e entidades da Administração Pública do Município de Valença.</w:t>
      </w:r>
    </w:p>
    <w:p w14:paraId="1D8EF2F4">
      <w:pPr>
        <w:pStyle w:val="53"/>
        <w:spacing w:line="288" w:lineRule="auto"/>
        <w:contextualSpacing/>
        <w:jc w:val="both"/>
        <w:rPr>
          <w:rFonts w:ascii="Times New Roman" w:hAnsi="Times New Roman" w:cs="Times New Roman"/>
        </w:rPr>
      </w:pPr>
    </w:p>
    <w:p w14:paraId="100B3649">
      <w:pPr>
        <w:pStyle w:val="53"/>
        <w:spacing w:line="288" w:lineRule="auto"/>
        <w:contextualSpacing/>
        <w:jc w:val="both"/>
        <w:rPr>
          <w:rFonts w:ascii="Times New Roman" w:hAnsi="Times New Roman" w:cs="Times New Roman"/>
        </w:rPr>
      </w:pPr>
      <w:r>
        <w:rPr>
          <w:rFonts w:ascii="Times New Roman" w:hAnsi="Times New Roman" w:cs="Times New Roman"/>
        </w:rPr>
        <w:t>11.12.1 A aplicação das sanções de impedimento de licitar e contratar e de declaração de inidoneidade para licitar e contratar deverá ser comunicada à Secretaria Municipal de Controle Interno, no prazo de 15 (quinze) dias úteis, contado da sua aplicação, que informará, para fins de publicidade, ao Cadastro Nacional de Empresas Inidôneas e Suspensas – CEIS e ao Cadastro Nacional de Empresas Punidas (Cnep), na forma do art. 161 da Lei nº 14.133/2021.</w:t>
      </w:r>
    </w:p>
    <w:p w14:paraId="192E587A">
      <w:pPr>
        <w:spacing w:line="288" w:lineRule="auto"/>
        <w:contextualSpacing/>
        <w:jc w:val="both"/>
        <w:rPr>
          <w:sz w:val="24"/>
          <w:szCs w:val="24"/>
        </w:rPr>
      </w:pPr>
    </w:p>
    <w:p w14:paraId="2204FE83">
      <w:pPr>
        <w:spacing w:line="288" w:lineRule="auto"/>
        <w:contextualSpacing/>
        <w:jc w:val="both"/>
        <w:rPr>
          <w:sz w:val="24"/>
          <w:szCs w:val="24"/>
        </w:rPr>
      </w:pPr>
      <w:r>
        <w:rPr>
          <w:sz w:val="24"/>
          <w:szCs w:val="24"/>
        </w:rPr>
        <w:t xml:space="preserve">11.13 Caso o valor da multa aplicada seja superior ao </w:t>
      </w:r>
      <w:r>
        <w:rPr>
          <w:color w:val="000000"/>
          <w:sz w:val="24"/>
          <w:szCs w:val="24"/>
        </w:rPr>
        <w:t xml:space="preserve">do pagamento eventualmente devido pela Administração ao </w:t>
      </w:r>
      <w:r>
        <w:rPr>
          <w:b/>
          <w:bCs/>
          <w:color w:val="000000"/>
          <w:sz w:val="24"/>
          <w:szCs w:val="24"/>
        </w:rPr>
        <w:t>CONTRATADO</w:t>
      </w:r>
      <w:r>
        <w:rPr>
          <w:color w:val="000000"/>
          <w:sz w:val="24"/>
          <w:szCs w:val="24"/>
        </w:rPr>
        <w:t xml:space="preserve"> e da garantia prestada</w:t>
      </w:r>
      <w:r>
        <w:rPr>
          <w:sz w:val="24"/>
          <w:szCs w:val="24"/>
        </w:rPr>
        <w:t>, deverá ser emitida nota de débito no valor do saldo, no prazo de 30 (trinta) dias após a decisão final quanto à penalidade.</w:t>
      </w:r>
    </w:p>
    <w:p w14:paraId="34A4B84A">
      <w:pPr>
        <w:spacing w:line="288" w:lineRule="auto"/>
        <w:contextualSpacing/>
        <w:jc w:val="both"/>
        <w:rPr>
          <w:sz w:val="24"/>
          <w:szCs w:val="24"/>
        </w:rPr>
      </w:pPr>
    </w:p>
    <w:p w14:paraId="2E3EBA69">
      <w:pPr>
        <w:spacing w:line="288" w:lineRule="auto"/>
        <w:ind w:right="64"/>
        <w:contextualSpacing/>
        <w:jc w:val="both"/>
        <w:rPr>
          <w:sz w:val="24"/>
          <w:szCs w:val="24"/>
        </w:rPr>
      </w:pPr>
      <w:r>
        <w:rPr>
          <w:sz w:val="24"/>
          <w:szCs w:val="24"/>
        </w:rPr>
        <w:t>11.13.1 A nota de débito deverá ser encaminhada Departamento de Cadastro Controle e Arrecadação para inscrição do débito em dívida ativa e propositura de execução fiscal, na forma do art. 39 da Lei nº 4.320, de 17 de março de 1964.</w:t>
      </w:r>
    </w:p>
    <w:p w14:paraId="37822B95">
      <w:pPr>
        <w:spacing w:line="288" w:lineRule="auto"/>
        <w:contextualSpacing/>
        <w:jc w:val="both"/>
        <w:rPr>
          <w:sz w:val="24"/>
          <w:szCs w:val="24"/>
        </w:rPr>
      </w:pPr>
    </w:p>
    <w:p w14:paraId="17CEBA04">
      <w:pPr>
        <w:spacing w:line="288" w:lineRule="auto"/>
        <w:contextualSpacing/>
        <w:jc w:val="both"/>
        <w:rPr>
          <w:sz w:val="24"/>
          <w:szCs w:val="24"/>
        </w:rPr>
      </w:pPr>
      <w:r>
        <w:rPr>
          <w:sz w:val="24"/>
          <w:szCs w:val="24"/>
        </w:rPr>
        <w:t>11.13.2 O procedimento para inscrição do débito em dívida ativa deverá observar o que dispõe a Lei Complementar nº: 279/2024.</w:t>
      </w:r>
    </w:p>
    <w:p w14:paraId="70C2D87B">
      <w:pPr>
        <w:spacing w:line="288" w:lineRule="auto"/>
        <w:contextualSpacing/>
        <w:jc w:val="both"/>
        <w:rPr>
          <w:sz w:val="24"/>
          <w:szCs w:val="24"/>
        </w:rPr>
      </w:pPr>
    </w:p>
    <w:p w14:paraId="7DF7ED40">
      <w:pPr>
        <w:pStyle w:val="90"/>
        <w:numPr>
          <w:ilvl w:val="0"/>
          <w:numId w:val="0"/>
        </w:numPr>
        <w:spacing w:before="0" w:after="0" w:line="288" w:lineRule="auto"/>
        <w:contextualSpacing/>
        <w:rPr>
          <w:rFonts w:ascii="Times New Roman" w:hAnsi="Times New Roman" w:cs="Times New Roman"/>
          <w:color w:val="FFFFFF"/>
          <w:sz w:val="24"/>
          <w:szCs w:val="24"/>
        </w:rPr>
      </w:pPr>
      <w:r>
        <w:rPr>
          <w:rFonts w:ascii="Times New Roman" w:hAnsi="Times New Roman" w:cs="Times New Roman"/>
          <w:sz w:val="24"/>
          <w:szCs w:val="24"/>
        </w:rPr>
        <w:t>CLÁUSULA DÉCIMA SEGUNDA – DA EXTINÇÃO CONTRATUAL</w:t>
      </w:r>
    </w:p>
    <w:p w14:paraId="2B55B925">
      <w:pPr>
        <w:pStyle w:val="91"/>
        <w:numPr>
          <w:ilvl w:val="0"/>
          <w:numId w:val="0"/>
        </w:numPr>
        <w:spacing w:before="0" w:after="0" w:line="288" w:lineRule="auto"/>
        <w:ind w:left="22"/>
        <w:contextualSpacing/>
        <w:rPr>
          <w:rFonts w:ascii="Times New Roman" w:hAnsi="Times New Roman" w:cs="Times New Roman"/>
          <w:i w:val="0"/>
          <w:iCs w:val="0"/>
          <w:color w:val="auto"/>
          <w:sz w:val="24"/>
          <w:szCs w:val="24"/>
        </w:rPr>
      </w:pPr>
    </w:p>
    <w:p w14:paraId="12AC94E4">
      <w:pPr>
        <w:pStyle w:val="91"/>
        <w:numPr>
          <w:ilvl w:val="0"/>
          <w:numId w:val="0"/>
        </w:numPr>
        <w:tabs>
          <w:tab w:val="left" w:pos="0"/>
        </w:tabs>
        <w:spacing w:before="0" w:after="0" w:line="288" w:lineRule="auto"/>
        <w:ind w:right="-78"/>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12.1 O Contrato se extingue quando vencido o prazo nele estipulado, independentemente de terem sido cumpridas ou não as obrigações de ambas as partes contraentes, sem prejuízo da aplicação das penalidades eventualmente cabíveis, observados os preceitos da Lei nº 14.133/2021 e neste Contrato.</w:t>
      </w:r>
    </w:p>
    <w:p w14:paraId="01D89725">
      <w:pPr>
        <w:pStyle w:val="91"/>
        <w:numPr>
          <w:ilvl w:val="0"/>
          <w:numId w:val="0"/>
        </w:numPr>
        <w:spacing w:before="0" w:after="0" w:line="288" w:lineRule="auto"/>
        <w:ind w:left="567" w:right="-78"/>
        <w:contextualSpacing/>
        <w:rPr>
          <w:rFonts w:ascii="Times New Roman" w:hAnsi="Times New Roman" w:cs="Times New Roman"/>
          <w:i w:val="0"/>
          <w:iCs w:val="0"/>
          <w:color w:val="000000" w:themeColor="text1"/>
          <w:sz w:val="24"/>
          <w:szCs w:val="24"/>
          <w14:textFill>
            <w14:solidFill>
              <w14:schemeClr w14:val="tx1"/>
            </w14:solidFill>
          </w14:textFill>
        </w:rPr>
      </w:pPr>
    </w:p>
    <w:p w14:paraId="6D2B0F46">
      <w:pPr>
        <w:pStyle w:val="91"/>
        <w:numPr>
          <w:ilvl w:val="0"/>
          <w:numId w:val="0"/>
        </w:numPr>
        <w:spacing w:before="0" w:after="0" w:line="288" w:lineRule="auto"/>
        <w:ind w:right="-78"/>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12.2 O Contrato pode ser extinto antes do prazo nele fixado, sem ônus para 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quando este não dispuser de créditos orçamentários para sua continuidade ou quando entender que o Contrato não mais lhe oferece vantagem.</w:t>
      </w:r>
    </w:p>
    <w:p w14:paraId="27F5F069">
      <w:pPr>
        <w:pStyle w:val="91"/>
        <w:numPr>
          <w:ilvl w:val="0"/>
          <w:numId w:val="0"/>
        </w:numPr>
        <w:spacing w:before="0" w:after="0" w:line="288" w:lineRule="auto"/>
        <w:ind w:left="567" w:right="-78"/>
        <w:contextualSpacing/>
        <w:rPr>
          <w:rFonts w:ascii="Times New Roman" w:hAnsi="Times New Roman" w:cs="Times New Roman"/>
          <w:i w:val="0"/>
          <w:iCs w:val="0"/>
          <w:color w:val="000000" w:themeColor="text1"/>
          <w:sz w:val="24"/>
          <w:szCs w:val="24"/>
          <w14:textFill>
            <w14:solidFill>
              <w14:schemeClr w14:val="tx1"/>
            </w14:solidFill>
          </w14:textFill>
        </w:rPr>
      </w:pPr>
    </w:p>
    <w:p w14:paraId="2114BFFE">
      <w:pPr>
        <w:pStyle w:val="91"/>
        <w:numPr>
          <w:ilvl w:val="0"/>
          <w:numId w:val="0"/>
        </w:numPr>
        <w:spacing w:before="0" w:after="0" w:line="288" w:lineRule="auto"/>
        <w:ind w:right="-78"/>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12.2.1 A extinção nesta hipótese ocorrerá na próxima data de aniversário do Contrato, desde que haja a notificação do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pelo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xml:space="preserve"> nesse sentido com pelo menos 2 (dois) meses de antecedência desse dia.</w:t>
      </w:r>
    </w:p>
    <w:p w14:paraId="34163091">
      <w:pPr>
        <w:spacing w:line="288" w:lineRule="auto"/>
        <w:ind w:left="567" w:right="-78"/>
        <w:contextualSpacing/>
        <w:jc w:val="both"/>
        <w:rPr>
          <w:color w:val="000000" w:themeColor="text1"/>
          <w:sz w:val="24"/>
          <w:szCs w:val="24"/>
          <w14:textFill>
            <w14:solidFill>
              <w14:schemeClr w14:val="tx1"/>
            </w14:solidFill>
          </w14:textFill>
        </w:rPr>
      </w:pPr>
    </w:p>
    <w:p w14:paraId="5251F47B">
      <w:pPr>
        <w:spacing w:line="288" w:lineRule="auto"/>
        <w:ind w:right="-78"/>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12.2.2 Caso a notificação da não-continuidade do Contrato de que trata este subitem ocorra com menos de 2 (dois) meses de antecedência da data de aniversário, a extinção contratual ocorrerá após 2 (dois) meses da data da comunicação.</w:t>
      </w:r>
    </w:p>
    <w:p w14:paraId="2D1CE94D">
      <w:pPr>
        <w:spacing w:line="288" w:lineRule="auto"/>
        <w:ind w:left="567" w:right="565"/>
        <w:contextualSpacing/>
        <w:jc w:val="both"/>
        <w:rPr>
          <w:sz w:val="24"/>
          <w:szCs w:val="24"/>
        </w:rPr>
      </w:pPr>
    </w:p>
    <w:p w14:paraId="492F07EA">
      <w:pPr>
        <w:spacing w:line="288" w:lineRule="auto"/>
        <w:contextualSpacing/>
        <w:jc w:val="both"/>
        <w:rPr>
          <w:sz w:val="24"/>
          <w:szCs w:val="24"/>
        </w:rPr>
      </w:pPr>
      <w:r>
        <w:rPr>
          <w:sz w:val="24"/>
          <w:szCs w:val="24"/>
        </w:rPr>
        <w:t>12.3 O presente Contrato poderá ser extinto, antes de cumpridas as obrigações estipuladas, ou antes do prazo neste fixado:</w:t>
      </w:r>
    </w:p>
    <w:p w14:paraId="2C4F66CA">
      <w:pPr>
        <w:spacing w:line="288" w:lineRule="auto"/>
        <w:contextualSpacing/>
        <w:jc w:val="both"/>
        <w:rPr>
          <w:sz w:val="24"/>
          <w:szCs w:val="24"/>
        </w:rPr>
      </w:pPr>
      <w:r>
        <w:rPr>
          <w:sz w:val="24"/>
          <w:szCs w:val="24"/>
        </w:rPr>
        <w:t xml:space="preserve">a) por ato unilateral do </w:t>
      </w:r>
      <w:r>
        <w:rPr>
          <w:b/>
          <w:bCs/>
          <w:sz w:val="24"/>
          <w:szCs w:val="24"/>
        </w:rPr>
        <w:t>CONTRATANTE</w:t>
      </w:r>
      <w:r>
        <w:rPr>
          <w:sz w:val="24"/>
          <w:szCs w:val="24"/>
        </w:rPr>
        <w:t xml:space="preserve">, em razão da inexecução total ou parcial do objeto e/ou das obrigações previstas no presente instrumento e/ou por algum dos motivos previstos no art. 137 da Lei nº 14.133/2021, assegurados o contraditório e a ampla defesa, devendo, ainda, ser observado o disposto nos arts. 138 e 139 da referida Lei; </w:t>
      </w:r>
    </w:p>
    <w:p w14:paraId="7D27117F">
      <w:pPr>
        <w:spacing w:line="288" w:lineRule="auto"/>
        <w:contextualSpacing/>
        <w:jc w:val="both"/>
        <w:rPr>
          <w:sz w:val="24"/>
          <w:szCs w:val="24"/>
        </w:rPr>
      </w:pPr>
      <w:r>
        <w:rPr>
          <w:sz w:val="24"/>
          <w:szCs w:val="24"/>
        </w:rPr>
        <w:t>b) consensualmente, na forma do art. 138, II, da Lei nº 14.133/2021; e</w:t>
      </w:r>
    </w:p>
    <w:p w14:paraId="5ED7253A">
      <w:pPr>
        <w:spacing w:line="288" w:lineRule="auto"/>
        <w:contextualSpacing/>
        <w:jc w:val="both"/>
        <w:rPr>
          <w:iCs/>
          <w:sz w:val="24"/>
          <w:szCs w:val="24"/>
        </w:rPr>
      </w:pPr>
      <w:r>
        <w:rPr>
          <w:sz w:val="24"/>
          <w:szCs w:val="24"/>
        </w:rPr>
        <w:t xml:space="preserve">c) na hipótese de contratação direta fundamentada no art. 75, VIII, da Lei nº 14.133/2021, </w:t>
      </w:r>
      <w:r>
        <w:rPr>
          <w:iCs/>
          <w:sz w:val="24"/>
          <w:szCs w:val="24"/>
        </w:rPr>
        <w:t xml:space="preserve">a qualquer tempo, sem indenização, e independentemente de aviso ou prazo, pelo </w:t>
      </w:r>
      <w:r>
        <w:rPr>
          <w:b/>
          <w:bCs/>
          <w:iCs/>
          <w:sz w:val="24"/>
          <w:szCs w:val="24"/>
        </w:rPr>
        <w:t>CONTRATANTE</w:t>
      </w:r>
      <w:r>
        <w:rPr>
          <w:iCs/>
          <w:sz w:val="24"/>
          <w:szCs w:val="24"/>
        </w:rPr>
        <w:t>, tão logo esteja(m) concluído(s) o(s) procedimento(s) licitatório(s) implementado(s) para a contratação do objeto em questão.</w:t>
      </w:r>
    </w:p>
    <w:p w14:paraId="7EBC1814">
      <w:pPr>
        <w:pStyle w:val="91"/>
        <w:numPr>
          <w:ilvl w:val="0"/>
          <w:numId w:val="0"/>
        </w:numPr>
        <w:spacing w:before="0" w:after="0" w:line="288" w:lineRule="auto"/>
        <w:ind w:left="22"/>
        <w:contextualSpacing/>
        <w:rPr>
          <w:rFonts w:ascii="Times New Roman" w:hAnsi="Times New Roman" w:cs="Times New Roman"/>
          <w:i w:val="0"/>
          <w:iCs w:val="0"/>
          <w:color w:val="auto"/>
          <w:sz w:val="24"/>
          <w:szCs w:val="24"/>
        </w:rPr>
      </w:pPr>
    </w:p>
    <w:p w14:paraId="10F4BAB1">
      <w:pPr>
        <w:pStyle w:val="91"/>
        <w:numPr>
          <w:ilvl w:val="0"/>
          <w:numId w:val="0"/>
        </w:numPr>
        <w:spacing w:before="0" w:after="0" w:line="288" w:lineRule="auto"/>
        <w:ind w:left="22"/>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12.3.1 A alteração social ou a modificação da finalidade ou da estrutura da empresa não ensejará a rescisão se não restringir sua capacidade de concluir o Contrato.</w:t>
      </w:r>
    </w:p>
    <w:p w14:paraId="17AAE2DB">
      <w:pPr>
        <w:pStyle w:val="91"/>
        <w:numPr>
          <w:ilvl w:val="0"/>
          <w:numId w:val="0"/>
        </w:numPr>
        <w:spacing w:before="0" w:after="0" w:line="288" w:lineRule="auto"/>
        <w:ind w:left="22"/>
        <w:contextualSpacing/>
        <w:rPr>
          <w:rFonts w:ascii="Times New Roman" w:hAnsi="Times New Roman" w:cs="Times New Roman"/>
          <w:i w:val="0"/>
          <w:iCs w:val="0"/>
          <w:color w:val="auto"/>
          <w:sz w:val="24"/>
          <w:szCs w:val="24"/>
        </w:rPr>
      </w:pPr>
    </w:p>
    <w:p w14:paraId="11CDBB23">
      <w:pPr>
        <w:pStyle w:val="91"/>
        <w:numPr>
          <w:ilvl w:val="0"/>
          <w:numId w:val="0"/>
        </w:numPr>
        <w:spacing w:before="0" w:after="0" w:line="288" w:lineRule="auto"/>
        <w:ind w:left="22"/>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12.3.2 Se a operação implicar mudança da pessoa jurídica contratada, deverá ser formalizado termo aditivo para alteração subjetiva.</w:t>
      </w:r>
    </w:p>
    <w:p w14:paraId="1C90DD72">
      <w:pPr>
        <w:spacing w:line="288" w:lineRule="auto"/>
        <w:contextualSpacing/>
        <w:jc w:val="both"/>
        <w:rPr>
          <w:color w:val="000000"/>
          <w:sz w:val="24"/>
          <w:szCs w:val="24"/>
        </w:rPr>
      </w:pPr>
    </w:p>
    <w:p w14:paraId="7C8C2CEF">
      <w:pPr>
        <w:spacing w:line="288" w:lineRule="auto"/>
        <w:contextualSpacing/>
        <w:jc w:val="both"/>
        <w:rPr>
          <w:sz w:val="24"/>
          <w:szCs w:val="24"/>
        </w:rPr>
      </w:pPr>
      <w:r>
        <w:rPr>
          <w:color w:val="000000"/>
          <w:sz w:val="24"/>
          <w:szCs w:val="24"/>
        </w:rPr>
        <w:t>12.4 A extinção prematura do Contrato deverá ser precedida de autorização escrita e fundamentada da autoridade competente e reduzida a termo no respectivo processo.</w:t>
      </w:r>
    </w:p>
    <w:p w14:paraId="28A4DAD1">
      <w:pPr>
        <w:spacing w:line="288" w:lineRule="auto"/>
        <w:contextualSpacing/>
        <w:jc w:val="both"/>
        <w:rPr>
          <w:sz w:val="24"/>
          <w:szCs w:val="24"/>
        </w:rPr>
      </w:pPr>
    </w:p>
    <w:p w14:paraId="576B3F7E">
      <w:pPr>
        <w:spacing w:line="288" w:lineRule="auto"/>
        <w:contextualSpacing/>
        <w:jc w:val="both"/>
        <w:rPr>
          <w:sz w:val="24"/>
          <w:szCs w:val="24"/>
        </w:rPr>
      </w:pPr>
      <w:r>
        <w:rPr>
          <w:sz w:val="24"/>
          <w:szCs w:val="24"/>
        </w:rPr>
        <w:t xml:space="preserve">12.4.1 A justificativa da rescisão por ato unilateral do </w:t>
      </w:r>
      <w:r>
        <w:rPr>
          <w:b/>
          <w:bCs/>
          <w:sz w:val="24"/>
          <w:szCs w:val="24"/>
        </w:rPr>
        <w:t>CONTRATANTE</w:t>
      </w:r>
      <w:r>
        <w:rPr>
          <w:sz w:val="24"/>
          <w:szCs w:val="24"/>
        </w:rPr>
        <w:t>, sempre que possível, contemplará:</w:t>
      </w:r>
    </w:p>
    <w:p w14:paraId="486FAE1F">
      <w:pPr>
        <w:spacing w:line="288" w:lineRule="auto"/>
        <w:contextualSpacing/>
        <w:jc w:val="both"/>
        <w:rPr>
          <w:sz w:val="24"/>
          <w:szCs w:val="24"/>
        </w:rPr>
      </w:pPr>
      <w:r>
        <w:rPr>
          <w:sz w:val="24"/>
          <w:szCs w:val="24"/>
        </w:rPr>
        <w:t>a) as obrigações contratuais já cumpridas ou parcialmente cumpridas;</w:t>
      </w:r>
    </w:p>
    <w:p w14:paraId="7F77C3EF">
      <w:pPr>
        <w:spacing w:line="288" w:lineRule="auto"/>
        <w:contextualSpacing/>
        <w:jc w:val="both"/>
        <w:rPr>
          <w:sz w:val="24"/>
          <w:szCs w:val="24"/>
        </w:rPr>
      </w:pPr>
      <w:r>
        <w:rPr>
          <w:sz w:val="24"/>
          <w:szCs w:val="24"/>
        </w:rPr>
        <w:t>b) os pagamentos já efetuados e ainda devidos;</w:t>
      </w:r>
    </w:p>
    <w:p w14:paraId="30A49E83">
      <w:pPr>
        <w:spacing w:line="288" w:lineRule="auto"/>
        <w:contextualSpacing/>
        <w:jc w:val="both"/>
        <w:rPr>
          <w:sz w:val="24"/>
          <w:szCs w:val="24"/>
        </w:rPr>
      </w:pPr>
      <w:r>
        <w:rPr>
          <w:sz w:val="24"/>
          <w:szCs w:val="24"/>
        </w:rPr>
        <w:t>c) as indenizações e multas.</w:t>
      </w:r>
    </w:p>
    <w:p w14:paraId="3661D6A4">
      <w:pPr>
        <w:pStyle w:val="86"/>
        <w:spacing w:before="0" w:after="0" w:line="288" w:lineRule="auto"/>
        <w:ind w:left="0" w:firstLine="0"/>
        <w:contextualSpacing/>
        <w:rPr>
          <w:rFonts w:ascii="Times New Roman" w:hAnsi="Times New Roman" w:cs="Times New Roman"/>
          <w:sz w:val="24"/>
          <w:szCs w:val="24"/>
        </w:rPr>
      </w:pPr>
    </w:p>
    <w:p w14:paraId="62741D41">
      <w:pPr>
        <w:pStyle w:val="86"/>
        <w:spacing w:before="0" w:after="0" w:line="288" w:lineRule="auto"/>
        <w:ind w:left="0" w:firstLine="0"/>
        <w:contextualSpacing/>
        <w:rPr>
          <w:rStyle w:val="14"/>
          <w:rFonts w:ascii="Times New Roman" w:hAnsi="Times New Roman" w:cs="Times New Roman" w:eastAsiaTheme="minorHAnsi"/>
          <w:color w:val="auto"/>
          <w:sz w:val="24"/>
          <w:szCs w:val="24"/>
        </w:rPr>
      </w:pPr>
      <w:r>
        <w:rPr>
          <w:rFonts w:ascii="Times New Roman" w:hAnsi="Times New Roman" w:cs="Times New Roman"/>
          <w:sz w:val="24"/>
          <w:szCs w:val="24"/>
        </w:rPr>
        <w:t xml:space="preserve">12.5 A extinção do Contrato não configura óbice para o reconhecimento do desequilíbrio econômico-financeiro, hipótese em que será concedida indenização por meio de termo indenizatório, na forma do </w:t>
      </w:r>
      <w:r>
        <w:fldChar w:fldCharType="begin"/>
      </w:r>
      <w:r>
        <w:instrText xml:space="preserve"> HYPERLINK "http://www.planalto.gov.br/ccivil_03/_ato2019-2022/2021/lei/L14133.htm" \l "art131" </w:instrText>
      </w:r>
      <w:r>
        <w:fldChar w:fldCharType="separate"/>
      </w:r>
      <w:r>
        <w:rPr>
          <w:rStyle w:val="14"/>
          <w:rFonts w:ascii="Times New Roman" w:hAnsi="Times New Roman" w:cs="Times New Roman" w:eastAsiaTheme="minorHAnsi"/>
          <w:color w:val="auto"/>
          <w:sz w:val="24"/>
          <w:szCs w:val="24"/>
        </w:rPr>
        <w:t xml:space="preserve">art. 131, </w:t>
      </w:r>
      <w:r>
        <w:rPr>
          <w:rStyle w:val="14"/>
          <w:rFonts w:ascii="Times New Roman" w:hAnsi="Times New Roman" w:cs="Times New Roman" w:eastAsiaTheme="minorHAnsi"/>
          <w:i/>
          <w:iCs/>
          <w:color w:val="auto"/>
          <w:sz w:val="24"/>
          <w:szCs w:val="24"/>
        </w:rPr>
        <w:t xml:space="preserve">caput, </w:t>
      </w:r>
      <w:r>
        <w:rPr>
          <w:rStyle w:val="14"/>
          <w:rFonts w:ascii="Times New Roman" w:hAnsi="Times New Roman" w:cs="Times New Roman" w:eastAsiaTheme="minorHAnsi"/>
          <w:color w:val="auto"/>
          <w:sz w:val="24"/>
          <w:szCs w:val="24"/>
        </w:rPr>
        <w:t xml:space="preserve">da Lei nº 14.133/2021, desde que o pedido seja </w:t>
      </w:r>
      <w:r>
        <w:rPr>
          <w:rFonts w:ascii="Times New Roman" w:hAnsi="Times New Roman" w:cs="Times New Roman"/>
          <w:sz w:val="24"/>
          <w:szCs w:val="24"/>
        </w:rPr>
        <w:t>formulado durante a vigência do Contrato e antes de eventual prorrogação</w:t>
      </w:r>
      <w:r>
        <w:rPr>
          <w:rStyle w:val="14"/>
          <w:rFonts w:ascii="Times New Roman" w:hAnsi="Times New Roman" w:cs="Times New Roman" w:eastAsiaTheme="minorHAnsi"/>
          <w:color w:val="auto"/>
          <w:sz w:val="24"/>
          <w:szCs w:val="24"/>
        </w:rPr>
        <w:t>.</w:t>
      </w:r>
      <w:r>
        <w:rPr>
          <w:rStyle w:val="14"/>
          <w:rFonts w:ascii="Times New Roman" w:hAnsi="Times New Roman" w:cs="Times New Roman" w:eastAsiaTheme="minorHAnsi"/>
          <w:color w:val="auto"/>
          <w:sz w:val="24"/>
          <w:szCs w:val="24"/>
        </w:rPr>
        <w:fldChar w:fldCharType="end"/>
      </w:r>
    </w:p>
    <w:p w14:paraId="1B9331FD">
      <w:pPr>
        <w:pStyle w:val="86"/>
        <w:spacing w:before="0" w:after="0" w:line="288" w:lineRule="auto"/>
        <w:ind w:left="0" w:firstLine="0"/>
        <w:contextualSpacing/>
        <w:rPr>
          <w:rStyle w:val="14"/>
          <w:rFonts w:ascii="Times New Roman" w:hAnsi="Times New Roman" w:cs="Times New Roman" w:eastAsiaTheme="minorHAnsi"/>
          <w:color w:val="auto"/>
          <w:sz w:val="24"/>
          <w:szCs w:val="24"/>
        </w:rPr>
      </w:pPr>
    </w:p>
    <w:p w14:paraId="78F1758C">
      <w:pPr>
        <w:pStyle w:val="86"/>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12.6. Extinto o Contrato, o </w:t>
      </w:r>
      <w:r>
        <w:rPr>
          <w:rFonts w:ascii="Times New Roman" w:hAnsi="Times New Roman" w:cs="Times New Roman"/>
          <w:b/>
          <w:bCs/>
          <w:sz w:val="24"/>
          <w:szCs w:val="24"/>
        </w:rPr>
        <w:t>CONTRATANTE</w:t>
      </w:r>
      <w:r>
        <w:rPr>
          <w:rFonts w:ascii="Times New Roman" w:hAnsi="Times New Roman" w:cs="Times New Roman"/>
          <w:sz w:val="24"/>
          <w:szCs w:val="24"/>
        </w:rPr>
        <w:t xml:space="preserve"> poderá ainda:</w:t>
      </w:r>
    </w:p>
    <w:p w14:paraId="6237765E">
      <w:pPr>
        <w:spacing w:before="120" w:after="120" w:line="288" w:lineRule="auto"/>
        <w:contextualSpacing/>
        <w:jc w:val="both"/>
        <w:rPr>
          <w:color w:val="000000"/>
          <w:sz w:val="24"/>
          <w:szCs w:val="24"/>
        </w:rPr>
      </w:pPr>
    </w:p>
    <w:p w14:paraId="04C4CD64">
      <w:pPr>
        <w:spacing w:before="120" w:after="120" w:line="288" w:lineRule="auto"/>
        <w:contextualSpacing/>
        <w:jc w:val="both"/>
        <w:rPr>
          <w:color w:val="000000"/>
          <w:sz w:val="24"/>
          <w:szCs w:val="24"/>
        </w:rPr>
      </w:pPr>
      <w:r>
        <w:rPr>
          <w:color w:val="000000"/>
          <w:sz w:val="24"/>
          <w:szCs w:val="24"/>
        </w:rPr>
        <w:t xml:space="preserve">12.6.1 nos casos de obrigação de pagamento de multa pelo </w:t>
      </w:r>
      <w:r>
        <w:rPr>
          <w:b/>
          <w:bCs/>
          <w:color w:val="000000"/>
          <w:sz w:val="24"/>
          <w:szCs w:val="24"/>
        </w:rPr>
        <w:t>CONTRATADO</w:t>
      </w:r>
      <w:r>
        <w:rPr>
          <w:color w:val="000000"/>
          <w:sz w:val="24"/>
          <w:szCs w:val="24"/>
        </w:rPr>
        <w:t>, reter e executar a garantia prestada; e</w:t>
      </w:r>
    </w:p>
    <w:p w14:paraId="0D08359F">
      <w:pPr>
        <w:spacing w:before="120" w:after="120" w:line="288" w:lineRule="auto"/>
        <w:contextualSpacing/>
        <w:jc w:val="both"/>
        <w:rPr>
          <w:color w:val="000000"/>
          <w:sz w:val="24"/>
          <w:szCs w:val="24"/>
        </w:rPr>
      </w:pPr>
    </w:p>
    <w:p w14:paraId="0EFDC265">
      <w:pPr>
        <w:spacing w:before="120" w:after="120" w:line="288" w:lineRule="auto"/>
        <w:contextualSpacing/>
        <w:jc w:val="both"/>
        <w:rPr>
          <w:sz w:val="24"/>
          <w:szCs w:val="24"/>
        </w:rPr>
      </w:pPr>
      <w:r>
        <w:rPr>
          <w:color w:val="000000"/>
          <w:sz w:val="24"/>
          <w:szCs w:val="24"/>
        </w:rPr>
        <w:t>12.6.2 nos casos em que houver necessidade de ressarcimento de prejuízos causados à Administração, nos termos do inciso IV do art. 139 da Lei nº 14.133/2021, reter os eventuais créditos existentes</w:t>
      </w:r>
      <w:r>
        <w:rPr>
          <w:sz w:val="24"/>
          <w:szCs w:val="24"/>
        </w:rPr>
        <w:t xml:space="preserve"> em favor do </w:t>
      </w:r>
      <w:r>
        <w:rPr>
          <w:b/>
          <w:bCs/>
          <w:sz w:val="24"/>
          <w:szCs w:val="24"/>
        </w:rPr>
        <w:t>C</w:t>
      </w:r>
      <w:r>
        <w:rPr>
          <w:b/>
          <w:bCs/>
          <w:color w:val="000000"/>
          <w:sz w:val="24"/>
          <w:szCs w:val="24"/>
        </w:rPr>
        <w:t>ONTRATADO</w:t>
      </w:r>
      <w:r>
        <w:rPr>
          <w:sz w:val="24"/>
          <w:szCs w:val="24"/>
        </w:rPr>
        <w:t xml:space="preserve"> decorrentes do Contrato.</w:t>
      </w:r>
    </w:p>
    <w:p w14:paraId="381767EC">
      <w:pPr>
        <w:spacing w:before="120" w:after="120" w:line="288" w:lineRule="auto"/>
        <w:contextualSpacing/>
        <w:jc w:val="both"/>
        <w:rPr>
          <w:sz w:val="24"/>
          <w:szCs w:val="24"/>
        </w:rPr>
      </w:pPr>
    </w:p>
    <w:p w14:paraId="74FA8A4B">
      <w:pPr>
        <w:pStyle w:val="85"/>
        <w:spacing w:before="0" w:line="288" w:lineRule="auto"/>
        <w:ind w:left="22" w:firstLine="0"/>
        <w:contextualSpacing/>
        <w:rPr>
          <w:rFonts w:ascii="Times New Roman" w:hAnsi="Times New Roman" w:cs="Times New Roman"/>
          <w:color w:val="FFFFFF"/>
          <w:sz w:val="24"/>
          <w:szCs w:val="24"/>
        </w:rPr>
      </w:pPr>
      <w:r>
        <w:rPr>
          <w:rFonts w:ascii="Times New Roman" w:hAnsi="Times New Roman" w:cs="Times New Roman"/>
          <w:sz w:val="24"/>
          <w:szCs w:val="24"/>
        </w:rPr>
        <w:t>CLÁUSULA DÉCIMA TERCEIRA – ALTERAÇÕES</w:t>
      </w:r>
    </w:p>
    <w:p w14:paraId="4A985CFA">
      <w:pPr>
        <w:pStyle w:val="83"/>
        <w:spacing w:before="0" w:after="0" w:line="288" w:lineRule="auto"/>
        <w:ind w:left="22" w:firstLine="0"/>
        <w:contextualSpacing/>
        <w:rPr>
          <w:rFonts w:ascii="Times New Roman" w:hAnsi="Times New Roman" w:cs="Times New Roman"/>
          <w:sz w:val="24"/>
          <w:szCs w:val="24"/>
        </w:rPr>
      </w:pPr>
    </w:p>
    <w:p w14:paraId="5233B4DE">
      <w:pPr>
        <w:pStyle w:val="83"/>
        <w:spacing w:before="0" w:after="0" w:line="288" w:lineRule="auto"/>
        <w:ind w:left="22" w:firstLine="0"/>
        <w:contextualSpacing/>
        <w:rPr>
          <w:rFonts w:ascii="Times New Roman" w:hAnsi="Times New Roman" w:cs="Times New Roman"/>
          <w:color w:val="auto"/>
          <w:sz w:val="24"/>
          <w:szCs w:val="24"/>
        </w:rPr>
      </w:pPr>
      <w:r>
        <w:rPr>
          <w:rFonts w:ascii="Times New Roman" w:hAnsi="Times New Roman" w:cs="Times New Roman"/>
          <w:sz w:val="24"/>
          <w:szCs w:val="24"/>
        </w:rPr>
        <w:t xml:space="preserve">13.1 Eventuais alterações contratuais reger-se-ão pela disciplina dos </w:t>
      </w:r>
      <w:r>
        <w:fldChar w:fldCharType="begin"/>
      </w:r>
      <w:r>
        <w:instrText xml:space="preserve"> HYPERLINK "http://www.planalto.gov.br/ccivil_03/_ato2019-2022/2021/lei/L14133.htm" \l "art124" </w:instrText>
      </w:r>
      <w:r>
        <w:fldChar w:fldCharType="separate"/>
      </w:r>
      <w:r>
        <w:rPr>
          <w:rStyle w:val="14"/>
          <w:rFonts w:ascii="Times New Roman" w:hAnsi="Times New Roman" w:cs="Times New Roman" w:eastAsiaTheme="minorHAnsi"/>
          <w:color w:val="auto"/>
          <w:sz w:val="24"/>
          <w:szCs w:val="24"/>
        </w:rPr>
        <w:t>arts. 124 e seguintes da Lei nº 14.133/2021</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24AE7E85">
      <w:pPr>
        <w:spacing w:line="288" w:lineRule="auto"/>
        <w:contextualSpacing/>
        <w:jc w:val="both"/>
        <w:rPr>
          <w:sz w:val="24"/>
          <w:szCs w:val="24"/>
        </w:rPr>
      </w:pPr>
    </w:p>
    <w:p w14:paraId="55386DEF">
      <w:pPr>
        <w:spacing w:line="288" w:lineRule="auto"/>
        <w:contextualSpacing/>
        <w:jc w:val="both"/>
        <w:rPr>
          <w:sz w:val="24"/>
          <w:szCs w:val="24"/>
        </w:rPr>
      </w:pPr>
      <w:r>
        <w:rPr>
          <w:sz w:val="24"/>
          <w:szCs w:val="24"/>
        </w:rPr>
        <w:t xml:space="preserve">13.2 O </w:t>
      </w:r>
      <w:r>
        <w:rPr>
          <w:b/>
          <w:bCs/>
          <w:sz w:val="24"/>
          <w:szCs w:val="24"/>
        </w:rPr>
        <w:t>CONTRATADO</w:t>
      </w:r>
      <w:r>
        <w:rPr>
          <w:sz w:val="24"/>
          <w:szCs w:val="24"/>
        </w:rPr>
        <w:t xml:space="preserve"> é obrigado a aceitar, nas mesmas condições contratuais, os acréscimos ou supressões que se fizerem necessários, até o limite de 25% (vinte e cinco por cento) do valor inicial atualizado do Contrato, na forma do art. 125 da Lei nº 14.133/2021.</w:t>
      </w:r>
    </w:p>
    <w:p w14:paraId="70DE5DD0">
      <w:pPr>
        <w:spacing w:line="288" w:lineRule="auto"/>
        <w:contextualSpacing/>
        <w:jc w:val="both"/>
        <w:rPr>
          <w:sz w:val="24"/>
          <w:szCs w:val="24"/>
        </w:rPr>
      </w:pPr>
    </w:p>
    <w:p w14:paraId="1DC1D54C">
      <w:pPr>
        <w:spacing w:line="288" w:lineRule="auto"/>
        <w:contextualSpacing/>
        <w:jc w:val="both"/>
        <w:rPr>
          <w:b/>
          <w:bCs/>
          <w:sz w:val="24"/>
          <w:szCs w:val="24"/>
        </w:rPr>
      </w:pPr>
      <w:r>
        <w:rPr>
          <w:sz w:val="24"/>
          <w:szCs w:val="24"/>
        </w:rPr>
        <w:t xml:space="preserve">13.3 As alterações contratuais deverão ser promovidas mediante celebração de termo aditivo, submetido à prévia aprovação da assessoria jurídica do </w:t>
      </w:r>
      <w:r>
        <w:rPr>
          <w:b/>
          <w:bCs/>
          <w:sz w:val="24"/>
          <w:szCs w:val="24"/>
        </w:rPr>
        <w:t>CONTRATANTE</w:t>
      </w:r>
      <w:r>
        <w:rPr>
          <w:sz w:val="24"/>
          <w:szCs w:val="24"/>
        </w:rPr>
        <w:t>.</w:t>
      </w:r>
    </w:p>
    <w:p w14:paraId="30208B45">
      <w:pPr>
        <w:pStyle w:val="85"/>
        <w:spacing w:before="0" w:line="288" w:lineRule="auto"/>
        <w:ind w:left="0" w:firstLine="0"/>
        <w:contextualSpacing/>
        <w:rPr>
          <w:rFonts w:ascii="Times New Roman" w:hAnsi="Times New Roman" w:cs="Times New Roman"/>
          <w:b w:val="0"/>
          <w:bCs w:val="0"/>
          <w:sz w:val="24"/>
          <w:szCs w:val="24"/>
        </w:rPr>
      </w:pPr>
    </w:p>
    <w:p w14:paraId="6B8B948E">
      <w:pPr>
        <w:pStyle w:val="85"/>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13.4</w:t>
      </w:r>
      <w:r>
        <w:rPr>
          <w:rFonts w:ascii="Times New Roman" w:hAnsi="Times New Roman" w:cs="Times New Roman"/>
          <w:sz w:val="24"/>
          <w:szCs w:val="24"/>
        </w:rPr>
        <w:t xml:space="preserve"> </w:t>
      </w:r>
      <w:r>
        <w:rPr>
          <w:rFonts w:ascii="Times New Roman" w:hAnsi="Times New Roman" w:cs="Times New Roman"/>
          <w:b w:val="0"/>
          <w:bCs w:val="0"/>
          <w:sz w:val="24"/>
          <w:szCs w:val="24"/>
        </w:rPr>
        <w:t xml:space="preserve">Registros que não caracterizam alteração do Contrato podem ser realizados por simples apostila, dispensada a celebração de termo aditivo, na forma do </w:t>
      </w:r>
      <w:r>
        <w:fldChar w:fldCharType="begin"/>
      </w:r>
      <w:r>
        <w:instrText xml:space="preserve"> HYPERLINK "http://www.planalto.gov.br/ccivil_03/_ato2019-2022/2021/lei/L14133.htm" \l "art136" </w:instrText>
      </w:r>
      <w:r>
        <w:fldChar w:fldCharType="separate"/>
      </w:r>
      <w:r>
        <w:rPr>
          <w:rStyle w:val="14"/>
          <w:rFonts w:ascii="Times New Roman" w:hAnsi="Times New Roman" w:cs="Times New Roman" w:eastAsiaTheme="minorHAnsi"/>
          <w:b w:val="0"/>
          <w:bCs w:val="0"/>
          <w:sz w:val="24"/>
          <w:szCs w:val="24"/>
        </w:rPr>
        <w:t>art. 136 da Lei nº 14.133/2021</w:t>
      </w:r>
      <w:r>
        <w:rPr>
          <w:rStyle w:val="14"/>
          <w:rFonts w:ascii="Times New Roman" w:hAnsi="Times New Roman" w:cs="Times New Roman" w:eastAsiaTheme="minorHAnsi"/>
          <w:b w:val="0"/>
          <w:bCs w:val="0"/>
          <w:sz w:val="24"/>
          <w:szCs w:val="24"/>
        </w:rPr>
        <w:fldChar w:fldCharType="end"/>
      </w:r>
      <w:r>
        <w:rPr>
          <w:rFonts w:ascii="Times New Roman" w:hAnsi="Times New Roman" w:cs="Times New Roman"/>
          <w:b w:val="0"/>
          <w:bCs w:val="0"/>
          <w:sz w:val="24"/>
          <w:szCs w:val="24"/>
        </w:rPr>
        <w:t>.</w:t>
      </w:r>
    </w:p>
    <w:p w14:paraId="64CEF828">
      <w:pPr>
        <w:spacing w:line="288" w:lineRule="auto"/>
        <w:contextualSpacing/>
        <w:rPr>
          <w:sz w:val="24"/>
          <w:szCs w:val="24"/>
        </w:rPr>
      </w:pPr>
    </w:p>
    <w:p w14:paraId="7312F803">
      <w:pPr>
        <w:pStyle w:val="85"/>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CLÁUSULA DÉCIMA QUARTA – DOTAÇÃO ORÇAMENTÁRIA </w:t>
      </w:r>
    </w:p>
    <w:p w14:paraId="39C170FE">
      <w:pPr>
        <w:spacing w:line="288" w:lineRule="auto"/>
        <w:contextualSpacing/>
        <w:rPr>
          <w:sz w:val="24"/>
          <w:szCs w:val="24"/>
        </w:rPr>
      </w:pPr>
    </w:p>
    <w:p w14:paraId="4D189B50">
      <w:pPr>
        <w:pStyle w:val="83"/>
        <w:spacing w:before="0" w:after="0" w:line="288" w:lineRule="auto"/>
        <w:ind w:left="22" w:firstLine="0"/>
        <w:contextualSpacing/>
        <w:rPr>
          <w:rFonts w:ascii="Times New Roman" w:hAnsi="Times New Roman" w:cs="Times New Roman"/>
          <w:sz w:val="24"/>
          <w:szCs w:val="24"/>
        </w:rPr>
      </w:pPr>
      <w:r>
        <w:rPr>
          <w:rFonts w:ascii="Times New Roman" w:hAnsi="Times New Roman" w:cs="Times New Roman"/>
          <w:sz w:val="24"/>
          <w:szCs w:val="24"/>
        </w:rPr>
        <w:t xml:space="preserve">14.1 As despesas com a execução do presente Contrato contratação correrão à conta das seguintes dotações orçamentárias, para o corrente exercício de </w:t>
      </w:r>
      <w:r>
        <w:rPr>
          <w:rFonts w:ascii="Times New Roman" w:hAnsi="Times New Roman" w:cs="Times New Roman"/>
          <w:color w:val="FF0000"/>
          <w:sz w:val="24"/>
          <w:szCs w:val="24"/>
        </w:rPr>
        <w:t>.........</w:t>
      </w:r>
      <w:r>
        <w:rPr>
          <w:rFonts w:ascii="Times New Roman" w:hAnsi="Times New Roman" w:cs="Times New Roman"/>
          <w:sz w:val="24"/>
          <w:szCs w:val="24"/>
        </w:rPr>
        <w:t>, assim classificadas:</w:t>
      </w:r>
    </w:p>
    <w:p w14:paraId="440B1A23">
      <w:pPr>
        <w:pStyle w:val="15"/>
        <w:spacing w:line="288" w:lineRule="auto"/>
        <w:contextualSpacing/>
        <w:jc w:val="both"/>
        <w:rPr>
          <w:rFonts w:ascii="Times New Roman" w:hAnsi="Times New Roman" w:cs="Times New Roman"/>
        </w:rPr>
      </w:pPr>
      <w:r>
        <w:rPr>
          <w:rFonts w:ascii="Times New Roman" w:hAnsi="Times New Roman" w:cs="Times New Roman"/>
        </w:rPr>
        <w:t>Natureza da Despesa:</w:t>
      </w:r>
    </w:p>
    <w:p w14:paraId="78F694E4">
      <w:pPr>
        <w:pStyle w:val="15"/>
        <w:spacing w:line="288" w:lineRule="auto"/>
        <w:contextualSpacing/>
        <w:jc w:val="both"/>
        <w:rPr>
          <w:rFonts w:ascii="Times New Roman" w:hAnsi="Times New Roman" w:cs="Times New Roman"/>
        </w:rPr>
      </w:pPr>
      <w:r>
        <w:rPr>
          <w:rFonts w:ascii="Times New Roman" w:hAnsi="Times New Roman" w:cs="Times New Roman"/>
        </w:rPr>
        <w:t>Fonte de Recurso:</w:t>
      </w:r>
    </w:p>
    <w:p w14:paraId="26BAE96A">
      <w:pPr>
        <w:pStyle w:val="15"/>
        <w:spacing w:line="288" w:lineRule="auto"/>
        <w:contextualSpacing/>
        <w:jc w:val="both"/>
        <w:rPr>
          <w:rFonts w:ascii="Times New Roman" w:hAnsi="Times New Roman" w:cs="Times New Roman"/>
        </w:rPr>
      </w:pPr>
      <w:r>
        <w:rPr>
          <w:rFonts w:ascii="Times New Roman" w:hAnsi="Times New Roman" w:cs="Times New Roman"/>
        </w:rPr>
        <w:t>Programa de Trabalho:</w:t>
      </w:r>
    </w:p>
    <w:p w14:paraId="6B994146">
      <w:pPr>
        <w:pStyle w:val="15"/>
        <w:spacing w:line="288" w:lineRule="auto"/>
        <w:contextualSpacing/>
        <w:jc w:val="both"/>
        <w:rPr>
          <w:rFonts w:ascii="Times New Roman" w:hAnsi="Times New Roman" w:cs="Times New Roman"/>
        </w:rPr>
      </w:pPr>
      <w:r>
        <w:rPr>
          <w:rFonts w:ascii="Times New Roman" w:hAnsi="Times New Roman" w:cs="Times New Roman"/>
        </w:rPr>
        <w:t>Nota de Empenho:</w:t>
      </w:r>
    </w:p>
    <w:p w14:paraId="716A1C5A">
      <w:pPr>
        <w:pStyle w:val="15"/>
        <w:spacing w:line="288" w:lineRule="auto"/>
        <w:contextualSpacing/>
        <w:jc w:val="both"/>
        <w:rPr>
          <w:rFonts w:ascii="Times New Roman" w:hAnsi="Times New Roman" w:cs="Times New Roman"/>
        </w:rPr>
      </w:pPr>
    </w:p>
    <w:p w14:paraId="0ECEA7B4">
      <w:pPr>
        <w:pStyle w:val="15"/>
        <w:spacing w:line="288" w:lineRule="auto"/>
        <w:contextualSpacing/>
        <w:jc w:val="both"/>
        <w:rPr>
          <w:rFonts w:ascii="Times New Roman" w:hAnsi="Times New Roman" w:cs="Times New Roman"/>
        </w:rPr>
      </w:pPr>
      <w:r>
        <w:rPr>
          <w:rFonts w:ascii="Times New Roman" w:hAnsi="Times New Roman" w:cs="Times New Roman"/>
        </w:rPr>
        <w:t xml:space="preserve">14.2 As despesas relativas aos exercícios subsequentes correrão por conta das dotações orçamentárias respectivas, devendo ser empenhadas no início de cada exercício. </w:t>
      </w:r>
    </w:p>
    <w:p w14:paraId="2904535F">
      <w:pPr>
        <w:pStyle w:val="15"/>
        <w:spacing w:line="288" w:lineRule="auto"/>
        <w:contextualSpacing/>
        <w:jc w:val="both"/>
        <w:rPr>
          <w:rFonts w:ascii="Times New Roman" w:hAnsi="Times New Roman" w:cs="Times New Roman"/>
        </w:rPr>
      </w:pPr>
    </w:p>
    <w:p w14:paraId="25FF3915">
      <w:pPr>
        <w:pStyle w:val="15"/>
        <w:spacing w:line="288" w:lineRule="auto"/>
        <w:contextualSpacing/>
        <w:jc w:val="both"/>
        <w:rPr>
          <w:rFonts w:ascii="Times New Roman" w:hAnsi="Times New Roman" w:cs="Times New Roman"/>
        </w:rPr>
      </w:pPr>
      <w:r>
        <w:rPr>
          <w:rFonts w:ascii="Times New Roman" w:hAnsi="Times New Roman" w:cs="Times New Roman"/>
        </w:rPr>
        <w:t>14.3 No início da contratação e de cada exercício deverá ser atestada a existência de créditos orçamentários vinculados à contratação e, no caso de fornecimento contínuo, a vantagem em sua manutenção, na forma dos arts. 105 e 106 da Lei nº 14.133/2021.</w:t>
      </w:r>
    </w:p>
    <w:p w14:paraId="4B3D9EBD">
      <w:pPr>
        <w:pStyle w:val="15"/>
        <w:spacing w:line="288" w:lineRule="auto"/>
        <w:contextualSpacing/>
        <w:jc w:val="both"/>
        <w:rPr>
          <w:rFonts w:ascii="Times New Roman" w:hAnsi="Times New Roman" w:cs="Times New Roman"/>
        </w:rPr>
      </w:pPr>
    </w:p>
    <w:p w14:paraId="15FF96C6">
      <w:pPr>
        <w:pStyle w:val="85"/>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CLÁUSULA DÉCIMA QUINTA – DOS CASOS OMISSOS </w:t>
      </w:r>
    </w:p>
    <w:p w14:paraId="0947E2CE">
      <w:pPr>
        <w:spacing w:line="288" w:lineRule="auto"/>
        <w:contextualSpacing/>
        <w:rPr>
          <w:sz w:val="24"/>
          <w:szCs w:val="24"/>
        </w:rPr>
      </w:pPr>
    </w:p>
    <w:p w14:paraId="25D4A725">
      <w:pPr>
        <w:pStyle w:val="83"/>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15.1 Os casos omissos serão decididos pelo </w:t>
      </w:r>
      <w:r>
        <w:rPr>
          <w:rFonts w:ascii="Times New Roman" w:hAnsi="Times New Roman" w:cs="Times New Roman"/>
          <w:b/>
          <w:bCs/>
          <w:color w:val="auto"/>
          <w:sz w:val="24"/>
          <w:szCs w:val="24"/>
        </w:rPr>
        <w:t>CONTRATANTE</w:t>
      </w:r>
      <w:r>
        <w:rPr>
          <w:rFonts w:ascii="Times New Roman" w:hAnsi="Times New Roman" w:cs="Times New Roman"/>
          <w:color w:val="auto"/>
          <w:sz w:val="24"/>
          <w:szCs w:val="24"/>
        </w:rPr>
        <w:t xml:space="preserve">, segundo as disposições contidas na Lei </w:t>
      </w:r>
      <w:r>
        <w:fldChar w:fldCharType="begin"/>
      </w:r>
      <w:r>
        <w:instrText xml:space="preserve"> HYPERLINK "http://www.planalto.gov.br/ccivil_03/_ato2019-2022/2021/lei/L14133.htm" </w:instrText>
      </w:r>
      <w:r>
        <w:fldChar w:fldCharType="separate"/>
      </w:r>
      <w:r>
        <w:rPr>
          <w:rStyle w:val="14"/>
          <w:rFonts w:ascii="Times New Roman" w:hAnsi="Times New Roman" w:cs="Times New Roman" w:eastAsiaTheme="minorHAnsi"/>
          <w:color w:val="auto"/>
          <w:sz w:val="24"/>
          <w:szCs w:val="24"/>
        </w:rPr>
        <w:t>nº 14.133/2021</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e demais normas federais e estaduais aplicáveis e, subsidiariamente, segundo as disposições contidas na </w:t>
      </w:r>
      <w:r>
        <w:fldChar w:fldCharType="begin"/>
      </w:r>
      <w:r>
        <w:instrText xml:space="preserve"> HYPERLINK "https://www.planalto.gov.br/ccivil_03/leis/l8078compilado.htm" </w:instrText>
      </w:r>
      <w:r>
        <w:fldChar w:fldCharType="separate"/>
      </w:r>
      <w:r>
        <w:rPr>
          <w:rStyle w:val="14"/>
          <w:rFonts w:ascii="Times New Roman" w:hAnsi="Times New Roman" w:cs="Times New Roman" w:eastAsiaTheme="minorHAnsi"/>
          <w:color w:val="auto"/>
          <w:sz w:val="24"/>
          <w:szCs w:val="24"/>
        </w:rPr>
        <w:t>Lei nº 8.078/1990 – Código de Defesa do Consumidor</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 e normas e princípios gerais dos contratos.</w:t>
      </w:r>
    </w:p>
    <w:p w14:paraId="6A1CF3A8">
      <w:pPr>
        <w:pStyle w:val="15"/>
        <w:spacing w:line="288" w:lineRule="auto"/>
        <w:contextualSpacing/>
        <w:jc w:val="both"/>
        <w:rPr>
          <w:rFonts w:ascii="Times New Roman" w:hAnsi="Times New Roman" w:cs="Times New Roman"/>
        </w:rPr>
      </w:pPr>
    </w:p>
    <w:p w14:paraId="73BC5D3A">
      <w:pPr>
        <w:pStyle w:val="85"/>
        <w:spacing w:before="0" w:line="288" w:lineRule="auto"/>
        <w:ind w:left="36" w:firstLine="0"/>
        <w:contextualSpacing/>
        <w:rPr>
          <w:rFonts w:ascii="Times New Roman" w:hAnsi="Times New Roman" w:cs="Times New Roman"/>
          <w:color w:val="FFFFFF"/>
          <w:sz w:val="24"/>
          <w:szCs w:val="24"/>
        </w:rPr>
      </w:pPr>
      <w:r>
        <w:rPr>
          <w:rFonts w:ascii="Times New Roman" w:hAnsi="Times New Roman" w:cs="Times New Roman"/>
          <w:sz w:val="24"/>
          <w:szCs w:val="24"/>
        </w:rPr>
        <w:t>CLÁUSULA DÉCIMA SEXTA – PUBLICAÇÃO E CONTROLE DO CONTRATO</w:t>
      </w:r>
    </w:p>
    <w:p w14:paraId="1C517B2D">
      <w:pPr>
        <w:pStyle w:val="83"/>
        <w:spacing w:before="0" w:after="0" w:line="288" w:lineRule="auto"/>
        <w:ind w:left="36" w:firstLine="0"/>
        <w:contextualSpacing/>
        <w:rPr>
          <w:rFonts w:ascii="Times New Roman" w:hAnsi="Times New Roman" w:cs="Times New Roman"/>
          <w:color w:val="auto"/>
          <w:sz w:val="24"/>
          <w:szCs w:val="24"/>
        </w:rPr>
      </w:pPr>
    </w:p>
    <w:p w14:paraId="7CEF1F9F">
      <w:pPr>
        <w:pStyle w:val="83"/>
        <w:spacing w:before="0" w:after="0" w:line="288" w:lineRule="auto"/>
        <w:ind w:left="36"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16.1 Incumbirá ao </w:t>
      </w:r>
      <w:r>
        <w:rPr>
          <w:rFonts w:ascii="Times New Roman" w:hAnsi="Times New Roman" w:cs="Times New Roman"/>
          <w:b/>
          <w:bCs/>
          <w:color w:val="auto"/>
          <w:sz w:val="24"/>
          <w:szCs w:val="24"/>
        </w:rPr>
        <w:t>CONTRATANTE</w:t>
      </w:r>
      <w:r>
        <w:rPr>
          <w:rFonts w:ascii="Times New Roman" w:hAnsi="Times New Roman" w:cs="Times New Roman"/>
          <w:color w:val="auto"/>
          <w:sz w:val="24"/>
          <w:szCs w:val="24"/>
        </w:rPr>
        <w:t xml:space="preserve"> divulgar o presente instrumento no Portal Nacional de Contratações Públicas (PNCP), na forma prevista no </w:t>
      </w:r>
      <w:r>
        <w:fldChar w:fldCharType="begin"/>
      </w:r>
      <w:r>
        <w:instrText xml:space="preserve"> HYPERLINK "http://www.planalto.gov.br/ccivil_03/_ato2019-2022/2021/lei/L14133.htm" \l "art94" </w:instrText>
      </w:r>
      <w:r>
        <w:fldChar w:fldCharType="separate"/>
      </w:r>
      <w:r>
        <w:rPr>
          <w:rStyle w:val="14"/>
          <w:rFonts w:ascii="Times New Roman" w:hAnsi="Times New Roman" w:cs="Times New Roman" w:eastAsiaTheme="minorHAnsi"/>
          <w:color w:val="auto"/>
          <w:sz w:val="24"/>
          <w:szCs w:val="24"/>
        </w:rPr>
        <w:t>art. 94 da Lei 14.133/2021</w:t>
      </w:r>
      <w:r>
        <w:rPr>
          <w:rStyle w:val="14"/>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bem como no respectivo sítio oficial na Internet, em atenção ao </w:t>
      </w:r>
      <w:r>
        <w:fldChar w:fldCharType="begin"/>
      </w:r>
      <w:r>
        <w:instrText xml:space="preserve"> HYPERLINK "https://www.planalto.gov.br/ccivil_03/_ato2011-2014/2011/lei/l12527.htm" \l "art8§2" </w:instrText>
      </w:r>
      <w:r>
        <w:fldChar w:fldCharType="separate"/>
      </w:r>
      <w:r>
        <w:rPr>
          <w:rStyle w:val="14"/>
          <w:rFonts w:ascii="Times New Roman" w:hAnsi="Times New Roman" w:cs="Times New Roman" w:eastAsiaTheme="minorHAnsi"/>
          <w:color w:val="auto"/>
          <w:sz w:val="24"/>
          <w:szCs w:val="24"/>
        </w:rPr>
        <w:t>art. 8º, §2º, da Lei nº 12.527/2011</w:t>
      </w:r>
      <w:r>
        <w:rPr>
          <w:rStyle w:val="14"/>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e publicar extrato da contratação no Boletim Oficial do Município.</w:t>
      </w:r>
    </w:p>
    <w:p w14:paraId="7C9D1264">
      <w:pPr>
        <w:spacing w:line="288" w:lineRule="auto"/>
        <w:contextualSpacing/>
        <w:jc w:val="both"/>
        <w:rPr>
          <w:sz w:val="24"/>
          <w:szCs w:val="24"/>
        </w:rPr>
      </w:pPr>
    </w:p>
    <w:p w14:paraId="30D77B71">
      <w:pPr>
        <w:spacing w:line="288" w:lineRule="auto"/>
        <w:contextualSpacing/>
        <w:jc w:val="both"/>
        <w:rPr>
          <w:sz w:val="24"/>
          <w:szCs w:val="24"/>
        </w:rPr>
      </w:pPr>
      <w:r>
        <w:rPr>
          <w:sz w:val="24"/>
          <w:szCs w:val="24"/>
        </w:rPr>
        <w:t>16.1.1 A divulgação do Contrato e de seus aditamentos no Portal Nacional de Contratações Públicas – PNCP, condição indispensável para sua eficácia, deverá ocorrer nos prazos estipulados pelo art. 94 da Lei nº 14.133/2021.</w:t>
      </w:r>
    </w:p>
    <w:p w14:paraId="55A7744B">
      <w:pPr>
        <w:spacing w:line="288" w:lineRule="auto"/>
        <w:contextualSpacing/>
        <w:jc w:val="both"/>
        <w:rPr>
          <w:sz w:val="24"/>
          <w:szCs w:val="24"/>
        </w:rPr>
      </w:pPr>
    </w:p>
    <w:p w14:paraId="14253DB6">
      <w:pPr>
        <w:spacing w:line="288" w:lineRule="auto"/>
        <w:contextualSpacing/>
        <w:jc w:val="both"/>
        <w:rPr>
          <w:sz w:val="24"/>
          <w:szCs w:val="24"/>
        </w:rPr>
      </w:pPr>
      <w:r>
        <w:rPr>
          <w:sz w:val="24"/>
          <w:szCs w:val="24"/>
        </w:rPr>
        <w:t xml:space="preserve">16.2 O </w:t>
      </w:r>
      <w:r>
        <w:rPr>
          <w:b/>
          <w:bCs/>
          <w:sz w:val="24"/>
          <w:szCs w:val="24"/>
        </w:rPr>
        <w:t>CONTRATANTE</w:t>
      </w:r>
      <w:r>
        <w:rPr>
          <w:sz w:val="24"/>
          <w:szCs w:val="24"/>
        </w:rPr>
        <w:t xml:space="preserve"> deverá adotar as providências necessárias para dar conhecimento da contratação, junto ao Tribunal de Contas do Estado.</w:t>
      </w:r>
    </w:p>
    <w:p w14:paraId="73BD2823">
      <w:pPr>
        <w:pStyle w:val="83"/>
        <w:spacing w:before="0" w:after="0" w:line="288" w:lineRule="auto"/>
        <w:ind w:left="36" w:firstLine="0"/>
        <w:contextualSpacing/>
        <w:rPr>
          <w:rFonts w:ascii="Times New Roman" w:hAnsi="Times New Roman" w:cs="Times New Roman"/>
          <w:color w:val="auto"/>
          <w:sz w:val="24"/>
          <w:szCs w:val="24"/>
        </w:rPr>
      </w:pPr>
    </w:p>
    <w:p w14:paraId="3AB9A952">
      <w:pPr>
        <w:pStyle w:val="85"/>
        <w:spacing w:before="0" w:line="288" w:lineRule="auto"/>
        <w:ind w:left="22" w:firstLine="0"/>
        <w:contextualSpacing/>
        <w:rPr>
          <w:rFonts w:ascii="Times New Roman" w:hAnsi="Times New Roman" w:cs="Times New Roman"/>
          <w:sz w:val="24"/>
          <w:szCs w:val="24"/>
        </w:rPr>
      </w:pPr>
      <w:r>
        <w:rPr>
          <w:rFonts w:ascii="Times New Roman" w:hAnsi="Times New Roman" w:cs="Times New Roman"/>
          <w:sz w:val="24"/>
          <w:szCs w:val="24"/>
        </w:rPr>
        <w:t xml:space="preserve">CLÁUSULA DÉCIMA SÉTIMA – FORO </w:t>
      </w:r>
    </w:p>
    <w:p w14:paraId="7FA18A20">
      <w:pPr>
        <w:spacing w:line="288" w:lineRule="auto"/>
        <w:contextualSpacing/>
        <w:rPr>
          <w:sz w:val="24"/>
          <w:szCs w:val="24"/>
        </w:rPr>
      </w:pPr>
    </w:p>
    <w:p w14:paraId="733CD792">
      <w:pPr>
        <w:spacing w:line="288" w:lineRule="auto"/>
        <w:contextualSpacing/>
        <w:jc w:val="both"/>
        <w:rPr>
          <w:sz w:val="24"/>
          <w:szCs w:val="24"/>
        </w:rPr>
      </w:pPr>
      <w:r>
        <w:rPr>
          <w:sz w:val="24"/>
          <w:szCs w:val="24"/>
        </w:rPr>
        <w:t xml:space="preserve">17.1 Fica eleito o Foro da Cidade de Valença RJ, para dirimir qualquer litígio decorrente do presente Contrato que não possa ser resolvido por meio amigável, com expressa renúncia a qualquer outro, por mais privilegiado que seja. </w:t>
      </w:r>
    </w:p>
    <w:p w14:paraId="0026F640">
      <w:pPr>
        <w:spacing w:line="288" w:lineRule="auto"/>
        <w:contextualSpacing/>
        <w:jc w:val="both"/>
        <w:rPr>
          <w:sz w:val="24"/>
          <w:szCs w:val="24"/>
        </w:rPr>
      </w:pPr>
    </w:p>
    <w:p w14:paraId="71C1B29D">
      <w:pPr>
        <w:spacing w:line="288" w:lineRule="auto"/>
        <w:contextualSpacing/>
        <w:jc w:val="both"/>
        <w:rPr>
          <w:sz w:val="24"/>
          <w:szCs w:val="24"/>
        </w:rPr>
      </w:pPr>
      <w:r>
        <w:rPr>
          <w:sz w:val="24"/>
          <w:szCs w:val="24"/>
        </w:rPr>
        <w:t>E, por estarem assim acordes em todas as condições e cláusulas estabelecidas neste Contrato, firmam as partes o presente instrumento, depois de achado conforme, em presença das testemunhas abaixo firmadas.</w:t>
      </w:r>
    </w:p>
    <w:p w14:paraId="2EEE282D">
      <w:pPr>
        <w:pStyle w:val="83"/>
        <w:spacing w:before="0" w:after="0" w:line="288" w:lineRule="auto"/>
        <w:ind w:left="0" w:firstLine="567"/>
        <w:contextualSpacing/>
        <w:rPr>
          <w:rFonts w:ascii="Times New Roman" w:hAnsi="Times New Roman" w:cs="Times New Roman"/>
          <w:i/>
          <w:iCs/>
          <w:color w:val="FF0000"/>
          <w:sz w:val="24"/>
          <w:szCs w:val="24"/>
        </w:rPr>
      </w:pPr>
    </w:p>
    <w:p w14:paraId="018800DF">
      <w:pPr>
        <w:pStyle w:val="83"/>
        <w:spacing w:before="0" w:after="0" w:line="288" w:lineRule="auto"/>
        <w:ind w:left="0" w:firstLine="567"/>
        <w:contextualSpacing/>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Valença, xx de xxxxxxxxx de 2026.</w:t>
      </w:r>
    </w:p>
    <w:p w14:paraId="5996192B">
      <w:pPr>
        <w:spacing w:line="288" w:lineRule="auto"/>
        <w:ind w:firstLine="567"/>
        <w:contextualSpacing/>
        <w:jc w:val="center"/>
        <w:rPr>
          <w:bCs/>
          <w:sz w:val="24"/>
          <w:szCs w:val="24"/>
        </w:rPr>
      </w:pPr>
    </w:p>
    <w:p w14:paraId="6E505C43">
      <w:pPr>
        <w:spacing w:line="288" w:lineRule="auto"/>
        <w:ind w:firstLine="567"/>
        <w:contextualSpacing/>
        <w:jc w:val="center"/>
        <w:rPr>
          <w:bCs/>
          <w:sz w:val="24"/>
          <w:szCs w:val="24"/>
        </w:rPr>
      </w:pPr>
      <w:r>
        <w:rPr>
          <w:bCs/>
          <w:sz w:val="24"/>
          <w:szCs w:val="24"/>
        </w:rPr>
        <w:t xml:space="preserve"> </w:t>
      </w:r>
    </w:p>
    <w:p w14:paraId="1BF0733F">
      <w:pPr>
        <w:spacing w:line="288" w:lineRule="auto"/>
        <w:ind w:firstLine="567"/>
        <w:contextualSpacing/>
        <w:jc w:val="center"/>
        <w:rPr>
          <w:bCs/>
          <w:sz w:val="24"/>
          <w:szCs w:val="24"/>
        </w:rPr>
      </w:pPr>
      <w:r>
        <w:rPr>
          <w:bCs/>
          <w:sz w:val="24"/>
          <w:szCs w:val="24"/>
        </w:rPr>
        <w:t>_________________________</w:t>
      </w:r>
    </w:p>
    <w:p w14:paraId="728209EE">
      <w:pPr>
        <w:spacing w:line="288" w:lineRule="auto"/>
        <w:ind w:firstLine="567"/>
        <w:contextualSpacing/>
        <w:jc w:val="center"/>
        <w:rPr>
          <w:sz w:val="24"/>
          <w:szCs w:val="24"/>
        </w:rPr>
      </w:pPr>
      <w:r>
        <w:rPr>
          <w:sz w:val="24"/>
          <w:szCs w:val="24"/>
        </w:rPr>
        <w:t>xxxx</w:t>
      </w:r>
    </w:p>
    <w:p w14:paraId="01C3EBB2">
      <w:pPr>
        <w:spacing w:line="288" w:lineRule="auto"/>
        <w:ind w:firstLine="567"/>
        <w:contextualSpacing/>
        <w:jc w:val="center"/>
        <w:rPr>
          <w:sz w:val="24"/>
          <w:szCs w:val="24"/>
        </w:rPr>
      </w:pPr>
      <w:r>
        <w:rPr>
          <w:sz w:val="24"/>
          <w:szCs w:val="24"/>
        </w:rPr>
        <w:t>Secretário Municipal de Assistência,</w:t>
      </w:r>
    </w:p>
    <w:p w14:paraId="332446FC">
      <w:pPr>
        <w:spacing w:line="288" w:lineRule="auto"/>
        <w:ind w:firstLine="567"/>
        <w:contextualSpacing/>
        <w:jc w:val="center"/>
        <w:rPr>
          <w:bCs/>
          <w:sz w:val="24"/>
          <w:szCs w:val="24"/>
        </w:rPr>
      </w:pPr>
      <w:r>
        <w:rPr>
          <w:sz w:val="24"/>
          <w:szCs w:val="24"/>
        </w:rPr>
        <w:t>Esporte e Envelhecimento saudável</w:t>
      </w:r>
    </w:p>
    <w:p w14:paraId="5435C56F">
      <w:pPr>
        <w:spacing w:line="288" w:lineRule="auto"/>
        <w:ind w:firstLine="567"/>
        <w:contextualSpacing/>
        <w:jc w:val="center"/>
        <w:rPr>
          <w:bCs/>
          <w:sz w:val="24"/>
          <w:szCs w:val="24"/>
        </w:rPr>
      </w:pPr>
      <w:r>
        <w:rPr>
          <w:bCs/>
          <w:sz w:val="24"/>
          <w:szCs w:val="24"/>
        </w:rPr>
        <w:t>MUNICÍPIO DE VALENÇA</w:t>
      </w:r>
    </w:p>
    <w:p w14:paraId="2DE40EE4">
      <w:pPr>
        <w:spacing w:line="288" w:lineRule="auto"/>
        <w:ind w:firstLine="567"/>
        <w:contextualSpacing/>
        <w:jc w:val="center"/>
        <w:rPr>
          <w:bCs/>
          <w:sz w:val="24"/>
          <w:szCs w:val="24"/>
        </w:rPr>
      </w:pPr>
    </w:p>
    <w:p w14:paraId="211C09F6">
      <w:pPr>
        <w:spacing w:line="288" w:lineRule="auto"/>
        <w:ind w:firstLine="567"/>
        <w:contextualSpacing/>
        <w:jc w:val="center"/>
        <w:rPr>
          <w:bCs/>
          <w:sz w:val="24"/>
          <w:szCs w:val="24"/>
        </w:rPr>
      </w:pPr>
    </w:p>
    <w:p w14:paraId="4BB6E0A2">
      <w:pPr>
        <w:spacing w:line="288" w:lineRule="auto"/>
        <w:ind w:firstLine="567"/>
        <w:contextualSpacing/>
        <w:jc w:val="center"/>
        <w:rPr>
          <w:sz w:val="24"/>
          <w:szCs w:val="24"/>
        </w:rPr>
      </w:pPr>
      <w:r>
        <w:rPr>
          <w:sz w:val="24"/>
          <w:szCs w:val="24"/>
        </w:rPr>
        <w:t>_________________________</w:t>
      </w:r>
    </w:p>
    <w:p w14:paraId="41D47E85">
      <w:pPr>
        <w:spacing w:line="288" w:lineRule="auto"/>
        <w:ind w:firstLine="567"/>
        <w:contextualSpacing/>
        <w:jc w:val="center"/>
        <w:rPr>
          <w:sz w:val="24"/>
          <w:szCs w:val="24"/>
        </w:rPr>
      </w:pPr>
      <w:r>
        <w:rPr>
          <w:bCs/>
          <w:sz w:val="24"/>
          <w:szCs w:val="24"/>
        </w:rPr>
        <w:t>Representante</w:t>
      </w:r>
      <w:r>
        <w:rPr>
          <w:sz w:val="24"/>
          <w:szCs w:val="24"/>
        </w:rPr>
        <w:t xml:space="preserve"> legal do CONTRATADO</w:t>
      </w:r>
    </w:p>
    <w:p w14:paraId="10067BBA">
      <w:pPr>
        <w:spacing w:line="288" w:lineRule="auto"/>
        <w:contextualSpacing/>
        <w:jc w:val="both"/>
        <w:rPr>
          <w:sz w:val="24"/>
          <w:szCs w:val="24"/>
        </w:rPr>
      </w:pPr>
      <w:r>
        <w:rPr>
          <w:sz w:val="24"/>
          <w:szCs w:val="24"/>
        </w:rPr>
        <w:t>TESTEMUNHAS:</w:t>
      </w:r>
    </w:p>
    <w:p w14:paraId="63C54604">
      <w:pPr>
        <w:spacing w:line="288" w:lineRule="auto"/>
        <w:contextualSpacing/>
        <w:rPr>
          <w:sz w:val="24"/>
          <w:szCs w:val="24"/>
        </w:rPr>
      </w:pPr>
      <w:r>
        <w:rPr>
          <w:sz w:val="24"/>
          <w:szCs w:val="24"/>
        </w:rPr>
        <w:t>1-</w:t>
      </w:r>
    </w:p>
    <w:p w14:paraId="221BF12E">
      <w:pPr>
        <w:spacing w:line="288" w:lineRule="auto"/>
        <w:contextualSpacing/>
        <w:rPr>
          <w:sz w:val="24"/>
          <w:szCs w:val="24"/>
        </w:rPr>
      </w:pPr>
      <w:r>
        <w:rPr>
          <w:sz w:val="24"/>
          <w:szCs w:val="24"/>
        </w:rPr>
        <w:t xml:space="preserve">2- </w:t>
      </w:r>
    </w:p>
    <w:p w14:paraId="4B6D9ED2">
      <w:pPr>
        <w:rPr>
          <w:sz w:val="24"/>
          <w:szCs w:val="24"/>
        </w:rPr>
      </w:pPr>
    </w:p>
    <w:p w14:paraId="7E3DC760">
      <w:pPr>
        <w:ind w:firstLine="142"/>
        <w:rPr>
          <w:sz w:val="24"/>
          <w:szCs w:val="24"/>
        </w:rPr>
      </w:pPr>
    </w:p>
    <w:p w14:paraId="23169F2B">
      <w:pPr>
        <w:ind w:firstLine="142"/>
        <w:jc w:val="center"/>
        <w:rPr>
          <w:b/>
          <w:bCs/>
          <w:sz w:val="24"/>
          <w:szCs w:val="24"/>
          <w:u w:val="single"/>
        </w:rPr>
      </w:pPr>
      <w:r>
        <w:rPr>
          <w:b/>
          <w:bCs/>
          <w:sz w:val="24"/>
          <w:szCs w:val="24"/>
          <w:highlight w:val="yellow"/>
          <w:u w:val="single"/>
        </w:rPr>
        <w:t>ANEXO VIII</w:t>
      </w:r>
    </w:p>
    <w:p w14:paraId="753C769A">
      <w:pPr>
        <w:ind w:firstLine="142"/>
        <w:jc w:val="center"/>
        <w:rPr>
          <w:b/>
          <w:bCs/>
          <w:sz w:val="24"/>
          <w:szCs w:val="24"/>
          <w:u w:val="single"/>
        </w:rPr>
      </w:pPr>
    </w:p>
    <w:p w14:paraId="35E500AD">
      <w:pPr>
        <w:pStyle w:val="15"/>
        <w:spacing w:line="360" w:lineRule="auto"/>
        <w:ind w:right="-285" w:firstLine="142"/>
        <w:jc w:val="center"/>
        <w:rPr>
          <w:rFonts w:ascii="Times New Roman" w:hAnsi="Times New Roman" w:cs="Times New Roman"/>
          <w:b/>
        </w:rPr>
      </w:pPr>
      <w:r>
        <w:rPr>
          <w:rFonts w:ascii="Times New Roman" w:hAnsi="Times New Roman" w:cs="Times New Roman"/>
          <w:b/>
        </w:rPr>
        <w:t>DECLARAÇÃO DE RESPONSABILIZAÇÃO CIVIL E ADMINISTRATIVA</w:t>
      </w:r>
    </w:p>
    <w:p w14:paraId="2D57AE56">
      <w:pPr>
        <w:pStyle w:val="15"/>
        <w:spacing w:line="360" w:lineRule="auto"/>
        <w:ind w:right="-285" w:firstLine="142"/>
        <w:jc w:val="center"/>
        <w:rPr>
          <w:rFonts w:ascii="Times New Roman" w:hAnsi="Times New Roman" w:cs="Times New Roman"/>
        </w:rPr>
      </w:pPr>
    </w:p>
    <w:p w14:paraId="17C7E9A5">
      <w:pPr>
        <w:pStyle w:val="15"/>
        <w:spacing w:line="360" w:lineRule="auto"/>
        <w:ind w:right="-285" w:firstLine="142"/>
        <w:jc w:val="both"/>
        <w:rPr>
          <w:rFonts w:ascii="Times New Roman" w:hAnsi="Times New Roman" w:cs="Times New Roman"/>
        </w:rPr>
      </w:pPr>
      <w:r>
        <w:rPr>
          <w:rFonts w:ascii="Times New Roman" w:hAnsi="Times New Roman" w:cs="Times New Roman"/>
        </w:rPr>
        <w:t>Para a execução deste instrumento jurídico, as partes declaram conhecer a Lei Federal nº 12.846/2013, se comprometem a atuar de forma ética, íntegra, legal e transparente, e estão cientes de que não poderão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w:t>
      </w:r>
    </w:p>
    <w:p w14:paraId="6B5B0E98">
      <w:pPr>
        <w:pStyle w:val="15"/>
        <w:spacing w:line="360" w:lineRule="auto"/>
        <w:ind w:right="-285" w:firstLine="142"/>
        <w:jc w:val="center"/>
        <w:rPr>
          <w:rFonts w:ascii="Times New Roman" w:hAnsi="Times New Roman" w:cs="Times New Roman"/>
        </w:rPr>
      </w:pPr>
    </w:p>
    <w:p w14:paraId="1F4BCB24">
      <w:pPr>
        <w:pStyle w:val="15"/>
        <w:spacing w:line="360" w:lineRule="auto"/>
        <w:ind w:right="-285" w:firstLine="142"/>
        <w:jc w:val="both"/>
        <w:rPr>
          <w:rFonts w:ascii="Times New Roman" w:hAnsi="Times New Roman" w:cs="Times New Roman"/>
        </w:rPr>
      </w:pPr>
      <w:r>
        <w:rPr>
          <w:rFonts w:ascii="Times New Roman" w:hAnsi="Times New Roman" w:cs="Times New Roman"/>
        </w:rPr>
        <w:t>Parágrafo primeiro – A responsabilização da pessoa jurídica subsiste nas hipóteses de alteração contratual, transformação, incorporação, fusão ou cisão societária, ressalvados os atos lesivos ocorridos antes da data da fusão ou incorporação, quando a responsabilidade da sucessora será restrita à obrigação de pagamento de multa e reparação integral do dano causado, até o limite do patrimônio transferido.</w:t>
      </w:r>
    </w:p>
    <w:p w14:paraId="39BCE98A">
      <w:pPr>
        <w:pStyle w:val="15"/>
        <w:spacing w:line="360" w:lineRule="auto"/>
        <w:ind w:right="-285" w:firstLine="142"/>
        <w:jc w:val="center"/>
        <w:rPr>
          <w:rFonts w:ascii="Times New Roman" w:hAnsi="Times New Roman" w:cs="Times New Roman"/>
        </w:rPr>
      </w:pPr>
    </w:p>
    <w:p w14:paraId="1F581539">
      <w:pPr>
        <w:pStyle w:val="15"/>
        <w:spacing w:line="360" w:lineRule="auto"/>
        <w:ind w:right="-285" w:firstLine="142"/>
        <w:jc w:val="both"/>
        <w:rPr>
          <w:rFonts w:ascii="Times New Roman" w:hAnsi="Times New Roman" w:cs="Times New Roman"/>
        </w:rPr>
      </w:pPr>
      <w:r>
        <w:rPr>
          <w:rFonts w:ascii="Times New Roman" w:hAnsi="Times New Roman" w:cs="Times New Roman"/>
        </w:rPr>
        <w:t>Parágrafo segundo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w:t>
      </w:r>
    </w:p>
    <w:p w14:paraId="1132E721">
      <w:pPr>
        <w:pStyle w:val="15"/>
        <w:spacing w:line="360" w:lineRule="auto"/>
        <w:ind w:right="-285" w:firstLine="142"/>
        <w:jc w:val="center"/>
        <w:rPr>
          <w:rFonts w:ascii="Times New Roman" w:hAnsi="Times New Roman" w:cs="Times New Roman"/>
        </w:rPr>
      </w:pPr>
    </w:p>
    <w:p w14:paraId="68D99209">
      <w:pPr>
        <w:pStyle w:val="15"/>
        <w:spacing w:line="360" w:lineRule="auto"/>
        <w:ind w:right="-285" w:firstLine="142"/>
        <w:jc w:val="center"/>
        <w:rPr>
          <w:rFonts w:ascii="Times New Roman" w:hAnsi="Times New Roman" w:cs="Times New Roman"/>
        </w:rPr>
      </w:pPr>
      <w:r>
        <w:rPr>
          <w:rFonts w:ascii="Times New Roman" w:hAnsi="Times New Roman" w:cs="Times New Roman"/>
        </w:rPr>
        <w:t>Valença, _____ de _____________ de _____.</w:t>
      </w:r>
    </w:p>
    <w:p w14:paraId="7DC4542F">
      <w:pPr>
        <w:pStyle w:val="15"/>
        <w:spacing w:line="360" w:lineRule="auto"/>
        <w:ind w:right="-285" w:firstLine="142"/>
        <w:jc w:val="center"/>
        <w:rPr>
          <w:rFonts w:ascii="Times New Roman" w:hAnsi="Times New Roman" w:cs="Times New Roman"/>
        </w:rPr>
      </w:pPr>
    </w:p>
    <w:p w14:paraId="6FDE8502">
      <w:pPr>
        <w:pStyle w:val="15"/>
        <w:spacing w:line="360" w:lineRule="auto"/>
        <w:ind w:right="-285" w:firstLine="142"/>
        <w:jc w:val="center"/>
        <w:rPr>
          <w:rFonts w:ascii="Times New Roman" w:hAnsi="Times New Roman" w:cs="Times New Roman"/>
        </w:rPr>
      </w:pPr>
      <w:r>
        <w:rPr>
          <w:rFonts w:ascii="Times New Roman" w:hAnsi="Times New Roman" w:cs="Times New Roman"/>
        </w:rPr>
        <w:t>___________________________________________________</w:t>
      </w:r>
    </w:p>
    <w:p w14:paraId="46A19A55">
      <w:pPr>
        <w:pStyle w:val="15"/>
        <w:ind w:right="-284" w:firstLine="142"/>
        <w:jc w:val="center"/>
        <w:rPr>
          <w:rFonts w:ascii="Times New Roman" w:hAnsi="Times New Roman" w:cs="Times New Roman"/>
        </w:rPr>
      </w:pPr>
      <w:r>
        <w:rPr>
          <w:rFonts w:ascii="Times New Roman" w:hAnsi="Times New Roman" w:cs="Times New Roman"/>
        </w:rPr>
        <w:t>AGENTE PÚBLICO</w:t>
      </w:r>
    </w:p>
    <w:p w14:paraId="40AA8B6A">
      <w:pPr>
        <w:pStyle w:val="15"/>
        <w:ind w:right="-284" w:firstLine="142"/>
        <w:jc w:val="center"/>
        <w:rPr>
          <w:rFonts w:ascii="Times New Roman" w:hAnsi="Times New Roman" w:cs="Times New Roman"/>
        </w:rPr>
      </w:pPr>
      <w:r>
        <w:rPr>
          <w:rFonts w:ascii="Times New Roman" w:hAnsi="Times New Roman" w:cs="Times New Roman"/>
        </w:rPr>
        <w:t>(Nome, cargo, matrícula e lotação)</w:t>
      </w:r>
    </w:p>
    <w:p w14:paraId="69B347DC">
      <w:pPr>
        <w:pStyle w:val="15"/>
        <w:spacing w:line="360" w:lineRule="auto"/>
        <w:ind w:right="-285" w:firstLine="142"/>
        <w:jc w:val="center"/>
        <w:rPr>
          <w:rFonts w:ascii="Times New Roman" w:hAnsi="Times New Roman" w:cs="Times New Roman"/>
        </w:rPr>
      </w:pPr>
      <w:r>
        <w:rPr>
          <w:rFonts w:ascii="Times New Roman" w:hAnsi="Times New Roman" w:cs="Times New Roman"/>
        </w:rPr>
        <w:t>___________________________________________________</w:t>
      </w:r>
    </w:p>
    <w:p w14:paraId="1DD8A169">
      <w:pPr>
        <w:pStyle w:val="15"/>
        <w:ind w:right="-284" w:firstLine="142"/>
        <w:jc w:val="center"/>
        <w:rPr>
          <w:rFonts w:ascii="Times New Roman" w:hAnsi="Times New Roman" w:cs="Times New Roman"/>
        </w:rPr>
      </w:pPr>
      <w:r>
        <w:rPr>
          <w:rFonts w:ascii="Times New Roman" w:hAnsi="Times New Roman" w:cs="Times New Roman"/>
        </w:rPr>
        <w:t>REPRESENTANTE LEGAL DA EMPRESA</w:t>
      </w:r>
    </w:p>
    <w:p w14:paraId="1AB4EE7F">
      <w:pPr>
        <w:pStyle w:val="15"/>
        <w:ind w:right="-284" w:firstLine="142"/>
        <w:jc w:val="center"/>
        <w:rPr>
          <w:rFonts w:ascii="Times New Roman" w:hAnsi="Times New Roman" w:cs="Times New Roman"/>
        </w:rPr>
      </w:pPr>
      <w:r>
        <w:rPr>
          <w:rFonts w:ascii="Times New Roman" w:hAnsi="Times New Roman" w:cs="Times New Roman"/>
        </w:rPr>
        <w:t xml:space="preserve">(Nome, cargo e carimbo da empresa) </w:t>
      </w:r>
    </w:p>
    <w:p w14:paraId="7BC41C5B">
      <w:pPr>
        <w:pStyle w:val="15"/>
        <w:spacing w:line="360" w:lineRule="auto"/>
        <w:rPr>
          <w:rFonts w:ascii="Times New Roman" w:hAnsi="Times New Roman" w:cs="Times New Roman"/>
        </w:rPr>
      </w:pPr>
    </w:p>
    <w:p w14:paraId="5A84A1BF">
      <w:pPr>
        <w:pStyle w:val="2"/>
        <w:rPr>
          <w:sz w:val="24"/>
          <w:szCs w:val="24"/>
        </w:rPr>
      </w:pPr>
    </w:p>
    <w:p w14:paraId="2D3DF16F">
      <w:pPr>
        <w:pStyle w:val="15"/>
        <w:spacing w:line="360" w:lineRule="auto"/>
        <w:ind w:right="-285" w:firstLine="142"/>
        <w:jc w:val="center"/>
        <w:rPr>
          <w:rFonts w:ascii="Times New Roman" w:hAnsi="Times New Roman" w:cs="Times New Roman"/>
          <w:b/>
          <w:color w:val="000000" w:themeColor="text1"/>
          <w14:textFill>
            <w14:solidFill>
              <w14:schemeClr w14:val="tx1"/>
            </w14:solidFill>
          </w14:textFill>
        </w:rPr>
      </w:pPr>
      <w:r>
        <w:rPr>
          <w:rFonts w:ascii="Times New Roman" w:hAnsi="Times New Roman" w:cs="Times New Roman"/>
          <w:b/>
          <w:color w:val="000000" w:themeColor="text1"/>
          <w14:textFill>
            <w14:solidFill>
              <w14:schemeClr w14:val="tx1"/>
            </w14:solidFill>
          </w14:textFill>
        </w:rPr>
        <w:t>DECLARAÇÃO DE INEXISTÊNCIA DE NEPOTISMO</w:t>
      </w:r>
    </w:p>
    <w:p w14:paraId="3C63E905">
      <w:pPr>
        <w:pStyle w:val="15"/>
        <w:spacing w:line="360" w:lineRule="auto"/>
        <w:ind w:right="-285" w:firstLine="142"/>
        <w:jc w:val="center"/>
        <w:rPr>
          <w:rFonts w:ascii="Times New Roman" w:hAnsi="Times New Roman" w:cs="Times New Roman"/>
          <w:color w:val="000000" w:themeColor="text1"/>
          <w14:textFill>
            <w14:solidFill>
              <w14:schemeClr w14:val="tx1"/>
            </w14:solidFill>
          </w14:textFill>
        </w:rPr>
      </w:pPr>
    </w:p>
    <w:p w14:paraId="5FEF3969">
      <w:pPr>
        <w:pStyle w:val="15"/>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777A4DC1">
      <w:pPr>
        <w:pStyle w:val="15"/>
        <w:spacing w:line="360" w:lineRule="auto"/>
        <w:ind w:right="-285" w:firstLine="142"/>
        <w:jc w:val="both"/>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 xml:space="preserve">Para a execução deste instrumento jurídico, a CONTRATADA, por meio de seu representante, declara não possuir em seu quadro societário cônjuge, companheiro ou parente em linha reta, colateral ou por afinidade até o terceiro grau, inclusive, dos ocupantes de cargos de direção ou no exercício de funções administrativas, assim como os ocupantes de cargos de direção, chefia e assessoramento vinculados direta ou indiretamente aos órgãos na linha hierárquica da área encarregada da contratação. </w:t>
      </w:r>
    </w:p>
    <w:p w14:paraId="2A05D26F">
      <w:pPr>
        <w:pStyle w:val="15"/>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3C66C6C3">
      <w:pPr>
        <w:pStyle w:val="15"/>
        <w:spacing w:line="360" w:lineRule="auto"/>
        <w:ind w:right="-285" w:firstLine="142"/>
        <w:jc w:val="center"/>
        <w:rPr>
          <w:rFonts w:ascii="Times New Roman" w:hAnsi="Times New Roman" w:cs="Times New Roman"/>
        </w:rPr>
      </w:pPr>
      <w:r>
        <w:rPr>
          <w:rFonts w:ascii="Times New Roman" w:hAnsi="Times New Roman" w:cs="Times New Roman"/>
        </w:rPr>
        <w:t>Valença, _____ de _____________ de _____.</w:t>
      </w:r>
    </w:p>
    <w:p w14:paraId="4DE409E5">
      <w:pPr>
        <w:pStyle w:val="15"/>
        <w:spacing w:line="360" w:lineRule="auto"/>
        <w:ind w:right="-285" w:firstLine="142"/>
        <w:jc w:val="center"/>
        <w:rPr>
          <w:rFonts w:ascii="Times New Roman" w:hAnsi="Times New Roman" w:cs="Times New Roman"/>
        </w:rPr>
      </w:pPr>
    </w:p>
    <w:p w14:paraId="405C74FA">
      <w:pPr>
        <w:pStyle w:val="15"/>
        <w:spacing w:line="360" w:lineRule="auto"/>
        <w:ind w:right="-285" w:firstLine="142"/>
        <w:jc w:val="center"/>
        <w:rPr>
          <w:rFonts w:ascii="Times New Roman" w:hAnsi="Times New Roman" w:cs="Times New Roman"/>
        </w:rPr>
      </w:pPr>
    </w:p>
    <w:p w14:paraId="36006C0B">
      <w:pPr>
        <w:pStyle w:val="15"/>
        <w:spacing w:line="360" w:lineRule="auto"/>
        <w:ind w:right="-285" w:firstLine="142"/>
        <w:jc w:val="center"/>
        <w:rPr>
          <w:rFonts w:ascii="Times New Roman" w:hAnsi="Times New Roman" w:cs="Times New Roman"/>
        </w:rPr>
      </w:pPr>
    </w:p>
    <w:p w14:paraId="493DB7F0">
      <w:pPr>
        <w:pStyle w:val="15"/>
        <w:spacing w:line="360" w:lineRule="auto"/>
        <w:ind w:right="-285" w:firstLine="142"/>
        <w:jc w:val="center"/>
        <w:rPr>
          <w:rFonts w:ascii="Times New Roman" w:hAnsi="Times New Roman" w:cs="Times New Roman"/>
        </w:rPr>
      </w:pPr>
      <w:r>
        <w:rPr>
          <w:rFonts w:ascii="Times New Roman" w:hAnsi="Times New Roman" w:cs="Times New Roman"/>
        </w:rPr>
        <w:t>___________________________________________________</w:t>
      </w:r>
    </w:p>
    <w:p w14:paraId="5FC65923">
      <w:pPr>
        <w:pStyle w:val="15"/>
        <w:ind w:right="-284" w:firstLine="142"/>
        <w:jc w:val="center"/>
        <w:rPr>
          <w:rFonts w:ascii="Times New Roman" w:hAnsi="Times New Roman" w:cs="Times New Roman"/>
        </w:rPr>
      </w:pPr>
      <w:r>
        <w:rPr>
          <w:rFonts w:ascii="Times New Roman" w:hAnsi="Times New Roman" w:cs="Times New Roman"/>
        </w:rPr>
        <w:t>CONTRATADA</w:t>
      </w:r>
    </w:p>
    <w:p w14:paraId="57568395">
      <w:pPr>
        <w:pStyle w:val="15"/>
        <w:ind w:right="-284" w:firstLine="142"/>
        <w:jc w:val="center"/>
        <w:rPr>
          <w:rFonts w:ascii="Times New Roman" w:hAnsi="Times New Roman" w:cs="Times New Roman"/>
        </w:rPr>
      </w:pPr>
      <w:r>
        <w:rPr>
          <w:rFonts w:ascii="Times New Roman" w:hAnsi="Times New Roman" w:cs="Times New Roman"/>
        </w:rPr>
        <w:t>REPRESENTANTE LEGAL DA EMPRESA</w:t>
      </w:r>
    </w:p>
    <w:p w14:paraId="2D02CC3D">
      <w:pPr>
        <w:pStyle w:val="15"/>
        <w:ind w:right="-284" w:firstLine="142"/>
        <w:jc w:val="center"/>
        <w:rPr>
          <w:rFonts w:ascii="Times New Roman" w:hAnsi="Times New Roman" w:cs="Times New Roman"/>
        </w:rPr>
      </w:pPr>
      <w:r>
        <w:rPr>
          <w:rFonts w:ascii="Times New Roman" w:hAnsi="Times New Roman" w:cs="Times New Roman"/>
        </w:rPr>
        <w:t xml:space="preserve">(Nome, cargo e carimbo da empresa) </w:t>
      </w:r>
    </w:p>
    <w:p w14:paraId="06B3AA33">
      <w:pPr>
        <w:pStyle w:val="15"/>
        <w:spacing w:line="360" w:lineRule="auto"/>
        <w:jc w:val="both"/>
        <w:rPr>
          <w:rFonts w:ascii="Times New Roman" w:hAnsi="Times New Roman" w:cs="Times New Roman"/>
          <w:color w:val="000000" w:themeColor="text1"/>
          <w14:textFill>
            <w14:solidFill>
              <w14:schemeClr w14:val="tx1"/>
            </w14:solidFill>
          </w14:textFill>
        </w:rPr>
      </w:pPr>
    </w:p>
    <w:p w14:paraId="44A5C75A">
      <w:pPr>
        <w:pStyle w:val="15"/>
        <w:ind w:right="-284" w:firstLine="142"/>
        <w:jc w:val="center"/>
        <w:rPr>
          <w:rFonts w:ascii="Times New Roman" w:hAnsi="Times New Roman" w:cs="Times New Roman"/>
          <w:b/>
          <w:color w:val="000000"/>
        </w:rPr>
      </w:pPr>
    </w:p>
    <w:p w14:paraId="5AC87FF5">
      <w:pPr>
        <w:pStyle w:val="15"/>
        <w:ind w:right="-284" w:firstLine="142"/>
        <w:jc w:val="center"/>
        <w:rPr>
          <w:rFonts w:ascii="Times New Roman" w:hAnsi="Times New Roman" w:eastAsia="Times New Roman" w:cs="Times New Roman"/>
          <w:b/>
        </w:rPr>
      </w:pPr>
      <w:r>
        <w:rPr>
          <w:rFonts w:ascii="Times New Roman" w:hAnsi="Times New Roman" w:cs="Times New Roman"/>
          <w:b/>
          <w:color w:val="000000"/>
        </w:rPr>
        <w:t xml:space="preserve">DECLARAÇÃO  REF. </w:t>
      </w:r>
      <w:r>
        <w:rPr>
          <w:rFonts w:ascii="Times New Roman" w:hAnsi="Times New Roman" w:eastAsia="Times New Roman" w:cs="Times New Roman"/>
          <w:b/>
        </w:rPr>
        <w:t>ARTIGO  9º, § 1º, DA LEI FEDERAL Nº 14.133/2021</w:t>
      </w:r>
    </w:p>
    <w:p w14:paraId="58E1C886">
      <w:pPr>
        <w:spacing w:line="360" w:lineRule="auto"/>
        <w:ind w:right="-285" w:firstLine="142"/>
        <w:jc w:val="both"/>
        <w:rPr>
          <w:sz w:val="24"/>
          <w:szCs w:val="24"/>
        </w:rPr>
      </w:pPr>
    </w:p>
    <w:p w14:paraId="68D69372">
      <w:pPr>
        <w:spacing w:line="360" w:lineRule="auto"/>
        <w:ind w:right="-285" w:firstLine="142"/>
        <w:jc w:val="both"/>
        <w:rPr>
          <w:sz w:val="24"/>
          <w:szCs w:val="24"/>
        </w:rPr>
      </w:pPr>
      <w:r>
        <w:rPr>
          <w:sz w:val="24"/>
          <w:szCs w:val="24"/>
        </w:rPr>
        <w:t>(em papel timbrado da empresa)</w:t>
      </w:r>
    </w:p>
    <w:p w14:paraId="0AE3634B">
      <w:pPr>
        <w:spacing w:line="360" w:lineRule="auto"/>
        <w:ind w:right="-285" w:firstLine="142"/>
        <w:jc w:val="both"/>
        <w:rPr>
          <w:sz w:val="24"/>
          <w:szCs w:val="24"/>
        </w:rPr>
      </w:pPr>
    </w:p>
    <w:p w14:paraId="5064F6C8">
      <w:pPr>
        <w:spacing w:line="360" w:lineRule="auto"/>
        <w:ind w:right="-285" w:firstLine="142"/>
        <w:jc w:val="both"/>
        <w:rPr>
          <w:sz w:val="24"/>
          <w:szCs w:val="24"/>
        </w:rPr>
      </w:pPr>
      <w:r>
        <w:rPr>
          <w:i/>
          <w:sz w:val="24"/>
          <w:szCs w:val="24"/>
        </w:rPr>
        <w:t>[denominação/razão social da sociedade empresarial]</w:t>
      </w:r>
    </w:p>
    <w:p w14:paraId="4C5C3BE2">
      <w:pPr>
        <w:tabs>
          <w:tab w:val="left" w:pos="5980"/>
        </w:tabs>
        <w:spacing w:line="360" w:lineRule="auto"/>
        <w:ind w:right="-285" w:firstLine="142"/>
        <w:jc w:val="both"/>
        <w:rPr>
          <w:sz w:val="24"/>
          <w:szCs w:val="24"/>
        </w:rPr>
      </w:pPr>
      <w:r>
        <w:rPr>
          <w:sz w:val="24"/>
          <w:szCs w:val="24"/>
        </w:rPr>
        <w:t>Cadastro Nacional de Pessoas Jurídicas – CNPJ n°____________.</w:t>
      </w:r>
    </w:p>
    <w:p w14:paraId="09723628">
      <w:pPr>
        <w:spacing w:line="360" w:lineRule="auto"/>
        <w:ind w:right="-285" w:firstLine="142"/>
        <w:jc w:val="both"/>
        <w:rPr>
          <w:i/>
          <w:sz w:val="24"/>
          <w:szCs w:val="24"/>
        </w:rPr>
      </w:pPr>
      <w:r>
        <w:rPr>
          <w:i/>
          <w:sz w:val="24"/>
          <w:szCs w:val="24"/>
        </w:rPr>
        <w:t>[endereço da sociedade empresarial]</w:t>
      </w:r>
    </w:p>
    <w:p w14:paraId="7D9442F7">
      <w:pPr>
        <w:spacing w:line="360" w:lineRule="auto"/>
        <w:ind w:right="-285" w:firstLine="142"/>
        <w:jc w:val="both"/>
        <w:rPr>
          <w:sz w:val="24"/>
          <w:szCs w:val="24"/>
        </w:rPr>
      </w:pPr>
    </w:p>
    <w:p w14:paraId="3BDA04E7">
      <w:pPr>
        <w:spacing w:line="360" w:lineRule="auto"/>
        <w:ind w:right="-285" w:firstLine="142"/>
        <w:jc w:val="both"/>
        <w:rPr>
          <w:sz w:val="24"/>
          <w:szCs w:val="24"/>
        </w:rPr>
      </w:pPr>
      <w:r>
        <w:rPr>
          <w:sz w:val="24"/>
          <w:szCs w:val="24"/>
        </w:rPr>
        <w:t>DECLARAMOS, sob as penalidades cabíveis, que não participam dos nossos quadros funcionais, profissional que tenha ocupado cargo integrante dos 1º e 2º escalões da Administração Direta ou Indireta do Município, nos últimos 12 (doze) meses.</w:t>
      </w:r>
    </w:p>
    <w:p w14:paraId="35FADF78">
      <w:pPr>
        <w:spacing w:line="360" w:lineRule="auto"/>
        <w:ind w:right="-285" w:firstLine="142"/>
        <w:jc w:val="both"/>
        <w:rPr>
          <w:sz w:val="24"/>
          <w:szCs w:val="24"/>
        </w:rPr>
      </w:pPr>
      <w:r>
        <w:rPr>
          <w:sz w:val="24"/>
          <w:szCs w:val="24"/>
        </w:rPr>
        <w:t>DECLARAMOS, de igual turno, sob as penalidades cabíveis, que não dispomos em nosso quadro societário de nenhum familiar de agente público vinculado direta ou indiretamente a unidades administrativas na linha hierárquica daquela encarregada da contratação, independentemente da modalidade adotada.</w:t>
      </w:r>
    </w:p>
    <w:p w14:paraId="745BD85B">
      <w:pPr>
        <w:spacing w:line="360" w:lineRule="auto"/>
        <w:ind w:right="-285" w:firstLine="142"/>
        <w:jc w:val="both"/>
        <w:rPr>
          <w:sz w:val="24"/>
          <w:szCs w:val="24"/>
        </w:rPr>
      </w:pPr>
      <w:r>
        <w:rPr>
          <w:sz w:val="24"/>
          <w:szCs w:val="24"/>
        </w:rPr>
        <w:t>DECLARAMOS, ainda, que não participam de nossos quadros funcionais agente público de órgão ou entidade licitante ou contratante, observadas as situações que possam configurar conflito de interesses no exercício ou após o exercício do cargo ou emprego, nos termos da legislação que disciplina a matéria.</w:t>
      </w:r>
    </w:p>
    <w:p w14:paraId="02880C21">
      <w:pPr>
        <w:spacing w:line="360" w:lineRule="auto"/>
        <w:ind w:right="-285" w:firstLine="142"/>
        <w:jc w:val="center"/>
        <w:rPr>
          <w:sz w:val="24"/>
          <w:szCs w:val="24"/>
        </w:rPr>
      </w:pPr>
      <w:r>
        <w:rPr>
          <w:sz w:val="24"/>
          <w:szCs w:val="24"/>
        </w:rPr>
        <w:t>Valença, _____ de ___________________de _______.</w:t>
      </w:r>
    </w:p>
    <w:p w14:paraId="38460536">
      <w:pPr>
        <w:spacing w:line="360" w:lineRule="auto"/>
        <w:ind w:right="-285" w:firstLine="142"/>
        <w:jc w:val="center"/>
        <w:rPr>
          <w:sz w:val="24"/>
          <w:szCs w:val="24"/>
        </w:rPr>
      </w:pPr>
      <w:r>
        <w:rPr>
          <w:sz w:val="24"/>
          <w:szCs w:val="24"/>
        </w:rPr>
        <w:t>_____________________________________________________</w:t>
      </w:r>
    </w:p>
    <w:p w14:paraId="7142BD70">
      <w:pPr>
        <w:pStyle w:val="15"/>
        <w:ind w:right="-284" w:firstLine="142"/>
        <w:jc w:val="center"/>
        <w:rPr>
          <w:rFonts w:ascii="Times New Roman" w:hAnsi="Times New Roman" w:cs="Times New Roman"/>
        </w:rPr>
      </w:pPr>
      <w:r>
        <w:rPr>
          <w:rFonts w:ascii="Times New Roman" w:hAnsi="Times New Roman" w:cs="Times New Roman"/>
        </w:rPr>
        <w:t>CONTRATADA</w:t>
      </w:r>
    </w:p>
    <w:p w14:paraId="286A53D8">
      <w:pPr>
        <w:pStyle w:val="15"/>
        <w:ind w:right="-284" w:firstLine="142"/>
        <w:jc w:val="center"/>
        <w:rPr>
          <w:rFonts w:ascii="Times New Roman" w:hAnsi="Times New Roman" w:cs="Times New Roman"/>
        </w:rPr>
      </w:pPr>
      <w:r>
        <w:rPr>
          <w:rFonts w:ascii="Times New Roman" w:hAnsi="Times New Roman" w:cs="Times New Roman"/>
        </w:rPr>
        <w:t>REPRESENTANTE LEGAL DA EMPRESA</w:t>
      </w:r>
    </w:p>
    <w:p w14:paraId="121F5D83">
      <w:pPr>
        <w:pStyle w:val="15"/>
        <w:ind w:right="-284" w:firstLine="142"/>
        <w:jc w:val="center"/>
        <w:rPr>
          <w:rFonts w:ascii="Times New Roman" w:hAnsi="Times New Roman" w:cs="Times New Roman"/>
        </w:rPr>
      </w:pPr>
      <w:r>
        <w:rPr>
          <w:rFonts w:ascii="Times New Roman" w:hAnsi="Times New Roman" w:cs="Times New Roman"/>
        </w:rPr>
        <w:t>(Nome, cargo e carimbo da empresa)</w:t>
      </w:r>
    </w:p>
    <w:p w14:paraId="69B4092A">
      <w:pPr>
        <w:pStyle w:val="15"/>
        <w:ind w:right="-284"/>
        <w:rPr>
          <w:rFonts w:ascii="Times New Roman" w:hAnsi="Times New Roman" w:cs="Times New Roman"/>
        </w:rPr>
      </w:pPr>
    </w:p>
    <w:p w14:paraId="6E682EDB">
      <w:pPr>
        <w:pStyle w:val="15"/>
        <w:ind w:right="-284" w:firstLine="142"/>
        <w:jc w:val="center"/>
        <w:rPr>
          <w:rFonts w:ascii="Times New Roman" w:hAnsi="Times New Roman" w:cs="Times New Roman"/>
        </w:rPr>
      </w:pPr>
    </w:p>
    <w:p w14:paraId="13BDC093">
      <w:pPr>
        <w:pStyle w:val="15"/>
        <w:ind w:right="-284" w:firstLine="142"/>
        <w:jc w:val="center"/>
        <w:rPr>
          <w:rFonts w:ascii="Times New Roman" w:hAnsi="Times New Roman" w:cs="Times New Roman"/>
          <w:b/>
        </w:rPr>
      </w:pPr>
    </w:p>
    <w:p w14:paraId="0A2AC787">
      <w:pPr>
        <w:pStyle w:val="15"/>
        <w:ind w:right="-284" w:firstLine="142"/>
        <w:jc w:val="center"/>
        <w:rPr>
          <w:rFonts w:ascii="Times New Roman" w:hAnsi="Times New Roman" w:cs="Times New Roman"/>
          <w:b/>
        </w:rPr>
      </w:pPr>
      <w:r>
        <w:rPr>
          <w:rFonts w:ascii="Times New Roman" w:hAnsi="Times New Roman" w:cs="Times New Roman"/>
          <w:b/>
        </w:rPr>
        <w:t>DECLARAÇÃO REF. AO ARTIGO 68, DA LEI FEDERAL Nº 14.133/2021</w:t>
      </w:r>
    </w:p>
    <w:p w14:paraId="26354B47">
      <w:pPr>
        <w:pStyle w:val="42"/>
        <w:rPr>
          <w:rFonts w:ascii="Times New Roman" w:hAnsi="Times New Roman" w:cs="Times New Roman"/>
        </w:rPr>
      </w:pPr>
    </w:p>
    <w:p w14:paraId="6595B656">
      <w:pPr>
        <w:pStyle w:val="42"/>
        <w:rPr>
          <w:rFonts w:ascii="Times New Roman" w:hAnsi="Times New Roman" w:cs="Times New Roman"/>
        </w:rPr>
      </w:pPr>
      <w:r>
        <w:rPr>
          <w:rFonts w:ascii="Times New Roman" w:hAnsi="Times New Roman" w:cs="Times New Roman"/>
        </w:rPr>
        <w:t>(em papel timbrado da empresa)</w:t>
      </w:r>
    </w:p>
    <w:p w14:paraId="3B80EF63">
      <w:pPr>
        <w:pStyle w:val="42"/>
        <w:rPr>
          <w:rFonts w:ascii="Times New Roman" w:hAnsi="Times New Roman" w:cs="Times New Roman"/>
        </w:rPr>
      </w:pPr>
    </w:p>
    <w:p w14:paraId="5C6C8341">
      <w:pPr>
        <w:pStyle w:val="42"/>
        <w:rPr>
          <w:rFonts w:ascii="Times New Roman" w:hAnsi="Times New Roman" w:cs="Times New Roman"/>
        </w:rPr>
      </w:pPr>
    </w:p>
    <w:p w14:paraId="49F429BB">
      <w:pPr>
        <w:pStyle w:val="42"/>
        <w:rPr>
          <w:rFonts w:ascii="Times New Roman" w:hAnsi="Times New Roman" w:cs="Times New Roman"/>
        </w:rPr>
      </w:pPr>
      <w:r>
        <w:rPr>
          <w:rFonts w:ascii="Times New Roman" w:hAnsi="Times New Roman" w:cs="Times New Roman"/>
        </w:rPr>
        <w:t>____________________________________ [</w:t>
      </w:r>
      <w:r>
        <w:rPr>
          <w:rFonts w:ascii="Times New Roman" w:hAnsi="Times New Roman" w:cs="Times New Roman"/>
          <w:i/>
        </w:rPr>
        <w:t>órgão ou entidade licitante</w:t>
      </w:r>
      <w:r>
        <w:rPr>
          <w:rFonts w:ascii="Times New Roman" w:hAnsi="Times New Roman" w:cs="Times New Roman"/>
        </w:rPr>
        <w:t>] Ref. Licitação n° ___/____ ________________________________________ [</w:t>
      </w:r>
      <w:r>
        <w:rPr>
          <w:rFonts w:ascii="Times New Roman" w:hAnsi="Times New Roman" w:cs="Times New Roman"/>
          <w:i/>
        </w:rPr>
        <w:t>denominação/razão social da sociedade empresarial</w:t>
      </w:r>
      <w:r>
        <w:rPr>
          <w:rFonts w:ascii="Times New Roman" w:hAnsi="Times New Roman" w:cs="Times New Roman"/>
        </w:rPr>
        <w:t>], inscrita no Cadastro Nacional de Pessoas Jurídicas – CNPJ sob o n° __________________, por intermédio do seu(sua) representante legal o(a) Sr.(a) ________________________________________, portador(a) da carteira de identidade n° _____________ e inscrito(a) no Cadastro de Pessoas Físicas – CPF sob o n° ___________________, DECLARA, para fins do disposto no inciso VI, do art. 68, da Lei Federal n° 14.133/2021, que não emprega menor de dezoito anos em trabalho noturno, perigoso ou insalubre e não emprega menor de dezesseis anos.</w:t>
      </w:r>
    </w:p>
    <w:p w14:paraId="36F1D1F6">
      <w:pPr>
        <w:pStyle w:val="42"/>
        <w:rPr>
          <w:rFonts w:ascii="Times New Roman" w:hAnsi="Times New Roman" w:cs="Times New Roman"/>
        </w:rPr>
      </w:pPr>
    </w:p>
    <w:p w14:paraId="76109AD6">
      <w:pPr>
        <w:pStyle w:val="42"/>
        <w:rPr>
          <w:rFonts w:ascii="Times New Roman" w:hAnsi="Times New Roman" w:cs="Times New Roman"/>
        </w:rPr>
      </w:pPr>
      <w:r>
        <w:rPr>
          <w:rFonts w:ascii="Times New Roman" w:hAnsi="Times New Roman" w:cs="Times New Roman"/>
        </w:rPr>
        <w:t>Ressalva: (  ) Emprega menor, a partir de quatorze anos, na condição de aprendiz.</w:t>
      </w:r>
    </w:p>
    <w:p w14:paraId="76110717">
      <w:pPr>
        <w:pStyle w:val="42"/>
        <w:rPr>
          <w:rFonts w:ascii="Times New Roman" w:hAnsi="Times New Roman" w:cs="Times New Roman"/>
        </w:rPr>
      </w:pPr>
    </w:p>
    <w:p w14:paraId="0649E73C">
      <w:pPr>
        <w:pStyle w:val="42"/>
        <w:rPr>
          <w:rFonts w:ascii="Times New Roman" w:hAnsi="Times New Roman" w:cs="Times New Roman"/>
        </w:rPr>
      </w:pPr>
    </w:p>
    <w:p w14:paraId="5C388F3C">
      <w:pPr>
        <w:pStyle w:val="42"/>
        <w:rPr>
          <w:rFonts w:ascii="Times New Roman" w:hAnsi="Times New Roman" w:cs="Times New Roman"/>
        </w:rPr>
      </w:pPr>
    </w:p>
    <w:p w14:paraId="00DBD19C">
      <w:pPr>
        <w:pStyle w:val="15"/>
        <w:ind w:right="-284" w:firstLine="142"/>
        <w:jc w:val="center"/>
        <w:rPr>
          <w:rFonts w:ascii="Times New Roman" w:hAnsi="Times New Roman" w:cs="Times New Roman"/>
        </w:rPr>
      </w:pPr>
      <w:r>
        <w:rPr>
          <w:rFonts w:ascii="Times New Roman" w:hAnsi="Times New Roman" w:cs="Times New Roman"/>
        </w:rPr>
        <w:t>Valença, ______de ____________de _____.</w:t>
      </w:r>
    </w:p>
    <w:p w14:paraId="0C04F4DD">
      <w:pPr>
        <w:pStyle w:val="15"/>
        <w:ind w:right="-284" w:firstLine="142"/>
        <w:jc w:val="center"/>
        <w:rPr>
          <w:rFonts w:ascii="Times New Roman" w:hAnsi="Times New Roman" w:cs="Times New Roman"/>
        </w:rPr>
      </w:pPr>
    </w:p>
    <w:p w14:paraId="353275B0">
      <w:pPr>
        <w:pStyle w:val="15"/>
        <w:ind w:right="-284" w:firstLine="142"/>
        <w:jc w:val="center"/>
        <w:rPr>
          <w:rFonts w:ascii="Times New Roman" w:hAnsi="Times New Roman" w:cs="Times New Roman"/>
        </w:rPr>
      </w:pPr>
    </w:p>
    <w:p w14:paraId="6BD9B724">
      <w:pPr>
        <w:pStyle w:val="15"/>
        <w:spacing w:after="120"/>
        <w:ind w:right="-284" w:firstLine="142"/>
        <w:jc w:val="center"/>
        <w:rPr>
          <w:rFonts w:ascii="Times New Roman" w:hAnsi="Times New Roman" w:cs="Times New Roman"/>
        </w:rPr>
      </w:pPr>
      <w:r>
        <w:rPr>
          <w:rFonts w:ascii="Times New Roman" w:hAnsi="Times New Roman" w:cs="Times New Roman"/>
        </w:rPr>
        <w:t>_______________________________________________</w:t>
      </w:r>
    </w:p>
    <w:p w14:paraId="1A53CC3D">
      <w:pPr>
        <w:pStyle w:val="15"/>
        <w:ind w:right="-284" w:firstLine="142"/>
        <w:jc w:val="center"/>
        <w:rPr>
          <w:rFonts w:ascii="Times New Roman" w:hAnsi="Times New Roman" w:cs="Times New Roman"/>
        </w:rPr>
      </w:pPr>
      <w:r>
        <w:rPr>
          <w:rFonts w:ascii="Times New Roman" w:hAnsi="Times New Roman" w:cs="Times New Roman"/>
        </w:rPr>
        <w:t>CONTRATADA</w:t>
      </w:r>
    </w:p>
    <w:p w14:paraId="1BCF0E76">
      <w:pPr>
        <w:pStyle w:val="15"/>
        <w:ind w:right="-284" w:firstLine="142"/>
        <w:jc w:val="center"/>
        <w:rPr>
          <w:rFonts w:ascii="Times New Roman" w:hAnsi="Times New Roman" w:cs="Times New Roman"/>
        </w:rPr>
      </w:pPr>
      <w:r>
        <w:rPr>
          <w:rFonts w:ascii="Times New Roman" w:hAnsi="Times New Roman" w:cs="Times New Roman"/>
        </w:rPr>
        <w:t>REPRESENTANTE LEGAL DA EMPRESA</w:t>
      </w:r>
    </w:p>
    <w:p w14:paraId="716A9796">
      <w:pPr>
        <w:pStyle w:val="15"/>
        <w:ind w:right="-284" w:firstLine="142"/>
        <w:jc w:val="center"/>
        <w:rPr>
          <w:rFonts w:ascii="Times New Roman" w:hAnsi="Times New Roman" w:cs="Times New Roman"/>
        </w:rPr>
      </w:pPr>
      <w:r>
        <w:rPr>
          <w:rFonts w:ascii="Times New Roman" w:hAnsi="Times New Roman" w:cs="Times New Roman"/>
        </w:rPr>
        <w:t>(Nome, cargo e carimbo da empresa)</w:t>
      </w:r>
    </w:p>
    <w:p w14:paraId="070FEE30">
      <w:pPr>
        <w:pStyle w:val="15"/>
        <w:spacing w:line="360" w:lineRule="auto"/>
        <w:ind w:right="-285"/>
        <w:rPr>
          <w:rFonts w:ascii="Times New Roman" w:hAnsi="Times New Roman" w:cs="Times New Roman"/>
          <w:b/>
        </w:rPr>
      </w:pPr>
    </w:p>
    <w:p w14:paraId="651B164F">
      <w:pPr>
        <w:rPr>
          <w:sz w:val="24"/>
          <w:szCs w:val="24"/>
        </w:rPr>
      </w:pPr>
    </w:p>
    <w:p w14:paraId="26548D4A">
      <w:pPr>
        <w:spacing w:line="360" w:lineRule="auto"/>
        <w:ind w:right="-285" w:firstLine="142"/>
        <w:jc w:val="center"/>
        <w:rPr>
          <w:b/>
          <w:sz w:val="24"/>
          <w:szCs w:val="24"/>
        </w:rPr>
      </w:pPr>
      <w:r>
        <w:rPr>
          <w:b/>
          <w:sz w:val="24"/>
          <w:szCs w:val="24"/>
        </w:rPr>
        <w:t>DECLARAÇÃO PARA FINS DE HABILITAÇÃO ECONÔMICO–FINANCEIRA –ART. 63, § 1º, DA LEI FEDERAL Nº 14.133/2021</w:t>
      </w:r>
    </w:p>
    <w:p w14:paraId="14BD06BC">
      <w:pPr>
        <w:pStyle w:val="42"/>
        <w:rPr>
          <w:rFonts w:ascii="Times New Roman" w:hAnsi="Times New Roman" w:cs="Times New Roman"/>
        </w:rPr>
      </w:pPr>
    </w:p>
    <w:p w14:paraId="32B80C46">
      <w:pPr>
        <w:spacing w:line="360" w:lineRule="auto"/>
        <w:ind w:right="-285" w:firstLine="142"/>
        <w:jc w:val="both"/>
        <w:rPr>
          <w:sz w:val="24"/>
          <w:szCs w:val="24"/>
        </w:rPr>
      </w:pPr>
      <w:r>
        <w:rPr>
          <w:sz w:val="24"/>
          <w:szCs w:val="24"/>
        </w:rPr>
        <w:t>(em papel timbrado da empresa)</w:t>
      </w:r>
    </w:p>
    <w:p w14:paraId="59BBB930">
      <w:pPr>
        <w:spacing w:line="360" w:lineRule="auto"/>
        <w:ind w:right="-285" w:firstLine="142"/>
        <w:jc w:val="both"/>
        <w:rPr>
          <w:sz w:val="24"/>
          <w:szCs w:val="24"/>
        </w:rPr>
      </w:pPr>
    </w:p>
    <w:p w14:paraId="11BC4586">
      <w:pPr>
        <w:spacing w:line="360" w:lineRule="auto"/>
        <w:ind w:right="-285" w:firstLine="142"/>
        <w:jc w:val="both"/>
        <w:rPr>
          <w:sz w:val="24"/>
          <w:szCs w:val="24"/>
        </w:rPr>
      </w:pPr>
      <w:r>
        <w:rPr>
          <w:i/>
          <w:sz w:val="24"/>
          <w:szCs w:val="24"/>
        </w:rPr>
        <w:t>[denominação/razão social da sociedade empresarial]</w:t>
      </w:r>
    </w:p>
    <w:p w14:paraId="7EC3EC69">
      <w:pPr>
        <w:tabs>
          <w:tab w:val="left" w:pos="5980"/>
        </w:tabs>
        <w:spacing w:line="360" w:lineRule="auto"/>
        <w:ind w:right="-285" w:firstLine="142"/>
        <w:jc w:val="both"/>
        <w:rPr>
          <w:sz w:val="24"/>
          <w:szCs w:val="24"/>
        </w:rPr>
      </w:pPr>
      <w:r>
        <w:rPr>
          <w:sz w:val="24"/>
          <w:szCs w:val="24"/>
        </w:rPr>
        <w:t>Cadastro Nacional de Pessoas Jurídicas – CNPJ n°____________.</w:t>
      </w:r>
    </w:p>
    <w:p w14:paraId="3D5163F8">
      <w:pPr>
        <w:spacing w:line="360" w:lineRule="auto"/>
        <w:ind w:right="-285" w:firstLine="142"/>
        <w:jc w:val="both"/>
        <w:rPr>
          <w:i/>
          <w:sz w:val="24"/>
          <w:szCs w:val="24"/>
        </w:rPr>
      </w:pPr>
      <w:r>
        <w:rPr>
          <w:i/>
          <w:sz w:val="24"/>
          <w:szCs w:val="24"/>
        </w:rPr>
        <w:t>[endereço da sociedade empresarial]</w:t>
      </w:r>
    </w:p>
    <w:p w14:paraId="7674E341">
      <w:pPr>
        <w:spacing w:line="360" w:lineRule="auto"/>
        <w:ind w:right="-285" w:firstLine="142"/>
        <w:jc w:val="both"/>
        <w:rPr>
          <w:sz w:val="24"/>
          <w:szCs w:val="24"/>
        </w:rPr>
      </w:pPr>
    </w:p>
    <w:p w14:paraId="7D3F1D5C">
      <w:pPr>
        <w:spacing w:line="360" w:lineRule="auto"/>
        <w:ind w:right="-285" w:firstLine="142"/>
        <w:jc w:val="both"/>
        <w:rPr>
          <w:sz w:val="24"/>
          <w:szCs w:val="24"/>
        </w:rPr>
      </w:pPr>
      <w:r>
        <w:rPr>
          <w:sz w:val="24"/>
          <w:szCs w:val="24"/>
        </w:rPr>
        <w:t>Considerando o disposto no § 1º do art. 63 da Lei Federal nº 14.133/2021, DECLARAMOS, sob pena de desclassificação, que nossa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9565039">
      <w:pPr>
        <w:spacing w:line="360" w:lineRule="auto"/>
        <w:ind w:right="-285" w:firstLine="142"/>
        <w:jc w:val="both"/>
        <w:rPr>
          <w:sz w:val="24"/>
          <w:szCs w:val="24"/>
        </w:rPr>
      </w:pPr>
    </w:p>
    <w:p w14:paraId="7F509A02">
      <w:pPr>
        <w:spacing w:line="360" w:lineRule="auto"/>
        <w:ind w:right="-285" w:firstLine="142"/>
        <w:jc w:val="center"/>
        <w:rPr>
          <w:sz w:val="24"/>
          <w:szCs w:val="24"/>
        </w:rPr>
      </w:pPr>
      <w:r>
        <w:rPr>
          <w:sz w:val="24"/>
          <w:szCs w:val="24"/>
        </w:rPr>
        <w:t>Valença, _____ de ___________________de _______.</w:t>
      </w:r>
    </w:p>
    <w:p w14:paraId="52312FF1">
      <w:pPr>
        <w:spacing w:line="360" w:lineRule="auto"/>
        <w:ind w:right="-285" w:firstLine="142"/>
        <w:jc w:val="both"/>
        <w:rPr>
          <w:sz w:val="24"/>
          <w:szCs w:val="24"/>
        </w:rPr>
      </w:pPr>
    </w:p>
    <w:p w14:paraId="44091C13">
      <w:pPr>
        <w:ind w:right="-284" w:firstLine="142"/>
        <w:jc w:val="center"/>
        <w:rPr>
          <w:sz w:val="24"/>
          <w:szCs w:val="24"/>
        </w:rPr>
      </w:pPr>
      <w:r>
        <w:rPr>
          <w:sz w:val="24"/>
          <w:szCs w:val="24"/>
        </w:rPr>
        <w:t>______________________________________________________</w:t>
      </w:r>
    </w:p>
    <w:p w14:paraId="2C86D17B">
      <w:pPr>
        <w:pStyle w:val="15"/>
        <w:ind w:right="-284" w:firstLine="142"/>
        <w:jc w:val="center"/>
        <w:rPr>
          <w:rFonts w:ascii="Times New Roman" w:hAnsi="Times New Roman" w:cs="Times New Roman"/>
        </w:rPr>
      </w:pPr>
      <w:r>
        <w:rPr>
          <w:rFonts w:ascii="Times New Roman" w:hAnsi="Times New Roman" w:cs="Times New Roman"/>
        </w:rPr>
        <w:t>CONTRATADA</w:t>
      </w:r>
    </w:p>
    <w:p w14:paraId="4B1F2796">
      <w:pPr>
        <w:pStyle w:val="15"/>
        <w:ind w:right="-284" w:firstLine="142"/>
        <w:jc w:val="center"/>
        <w:rPr>
          <w:rFonts w:ascii="Times New Roman" w:hAnsi="Times New Roman" w:cs="Times New Roman"/>
        </w:rPr>
      </w:pPr>
      <w:r>
        <w:rPr>
          <w:rFonts w:ascii="Times New Roman" w:hAnsi="Times New Roman" w:cs="Times New Roman"/>
        </w:rPr>
        <w:t>REPRESENTANTE LEGAL DA EMPRESA</w:t>
      </w:r>
    </w:p>
    <w:p w14:paraId="06022D5B">
      <w:pPr>
        <w:pStyle w:val="15"/>
        <w:ind w:right="-284" w:firstLine="142"/>
        <w:jc w:val="center"/>
        <w:rPr>
          <w:rFonts w:ascii="Times New Roman" w:hAnsi="Times New Roman" w:cs="Times New Roman"/>
        </w:rPr>
      </w:pPr>
      <w:r>
        <w:rPr>
          <w:rFonts w:ascii="Times New Roman" w:hAnsi="Times New Roman" w:cs="Times New Roman"/>
        </w:rPr>
        <w:t>(Nome, cargo e carimbo da empresa)</w:t>
      </w:r>
    </w:p>
    <w:p w14:paraId="427BEB68">
      <w:pPr>
        <w:pStyle w:val="15"/>
        <w:ind w:right="-284" w:firstLine="142"/>
        <w:jc w:val="center"/>
        <w:rPr>
          <w:rFonts w:ascii="Times New Roman" w:hAnsi="Times New Roman" w:cs="Times New Roman"/>
        </w:rPr>
      </w:pPr>
    </w:p>
    <w:p w14:paraId="49AA916C">
      <w:pPr>
        <w:pStyle w:val="42"/>
        <w:rPr>
          <w:rFonts w:ascii="Times New Roman" w:hAnsi="Times New Roman" w:cs="Times New Roman"/>
        </w:rPr>
      </w:pPr>
    </w:p>
    <w:p w14:paraId="363B7077">
      <w:pPr>
        <w:spacing w:line="360" w:lineRule="auto"/>
        <w:ind w:right="-285" w:firstLine="142"/>
        <w:jc w:val="center"/>
        <w:rPr>
          <w:sz w:val="24"/>
          <w:szCs w:val="24"/>
        </w:rPr>
      </w:pPr>
      <w:r>
        <w:rPr>
          <w:b/>
          <w:bCs/>
          <w:sz w:val="24"/>
          <w:szCs w:val="24"/>
        </w:rPr>
        <w:t>DECLARAÇÃO DE CUMPRIMENTO DE RESERVA DE CARGOS DO ART. 63, IV, DA LEI FEDERAL Nº 14.133/2021</w:t>
      </w:r>
    </w:p>
    <w:p w14:paraId="21564D77">
      <w:pPr>
        <w:spacing w:line="360" w:lineRule="auto"/>
        <w:ind w:right="-285" w:firstLine="142"/>
        <w:jc w:val="both"/>
        <w:rPr>
          <w:sz w:val="24"/>
          <w:szCs w:val="24"/>
        </w:rPr>
      </w:pPr>
      <w:r>
        <w:rPr>
          <w:sz w:val="24"/>
          <w:szCs w:val="24"/>
        </w:rPr>
        <w:t>(em papel timbrado da empresa)</w:t>
      </w:r>
    </w:p>
    <w:p w14:paraId="06E6859B">
      <w:pPr>
        <w:spacing w:line="360" w:lineRule="auto"/>
        <w:ind w:right="-285" w:firstLine="142"/>
        <w:jc w:val="both"/>
        <w:rPr>
          <w:sz w:val="24"/>
          <w:szCs w:val="24"/>
        </w:rPr>
      </w:pPr>
    </w:p>
    <w:p w14:paraId="54A047B3">
      <w:pPr>
        <w:spacing w:line="360" w:lineRule="auto"/>
        <w:ind w:right="-285" w:firstLine="142"/>
        <w:jc w:val="both"/>
        <w:rPr>
          <w:sz w:val="24"/>
          <w:szCs w:val="24"/>
        </w:rPr>
      </w:pPr>
      <w:r>
        <w:rPr>
          <w:i/>
          <w:sz w:val="24"/>
          <w:szCs w:val="24"/>
        </w:rPr>
        <w:t>[denominação/razão social da sociedade empresarial]</w:t>
      </w:r>
    </w:p>
    <w:p w14:paraId="23EB874E">
      <w:pPr>
        <w:tabs>
          <w:tab w:val="left" w:pos="5980"/>
        </w:tabs>
        <w:spacing w:line="360" w:lineRule="auto"/>
        <w:ind w:right="-285" w:firstLine="142"/>
        <w:jc w:val="both"/>
        <w:rPr>
          <w:sz w:val="24"/>
          <w:szCs w:val="24"/>
        </w:rPr>
      </w:pPr>
      <w:r>
        <w:rPr>
          <w:sz w:val="24"/>
          <w:szCs w:val="24"/>
        </w:rPr>
        <w:t>Cadastro Nacional de Pessoas Jurídicas – CNPJ n°____________.</w:t>
      </w:r>
    </w:p>
    <w:p w14:paraId="1DB276AE">
      <w:pPr>
        <w:spacing w:line="360" w:lineRule="auto"/>
        <w:ind w:right="-285" w:firstLine="142"/>
        <w:jc w:val="both"/>
        <w:rPr>
          <w:i/>
          <w:sz w:val="24"/>
          <w:szCs w:val="24"/>
        </w:rPr>
      </w:pPr>
      <w:r>
        <w:rPr>
          <w:i/>
          <w:sz w:val="24"/>
          <w:szCs w:val="24"/>
        </w:rPr>
        <w:t>[endereço da sociedade empresarial]</w:t>
      </w:r>
    </w:p>
    <w:p w14:paraId="627FC5A7">
      <w:pPr>
        <w:spacing w:line="360" w:lineRule="auto"/>
        <w:ind w:right="-285" w:firstLine="142"/>
        <w:jc w:val="both"/>
        <w:rPr>
          <w:sz w:val="24"/>
          <w:szCs w:val="24"/>
        </w:rPr>
      </w:pPr>
    </w:p>
    <w:p w14:paraId="5ACE8CB4">
      <w:pPr>
        <w:spacing w:line="360" w:lineRule="auto"/>
        <w:ind w:right="-285" w:firstLine="142"/>
        <w:jc w:val="both"/>
        <w:rPr>
          <w:sz w:val="24"/>
          <w:szCs w:val="24"/>
        </w:rPr>
      </w:pPr>
      <w:r>
        <w:rPr>
          <w:sz w:val="24"/>
          <w:szCs w:val="24"/>
        </w:rPr>
        <w:t>Considerando o disposto no inciso IV do art. 63 da Lei Federal nº 14.133/2021, DECLARAMOS que cumprimos as exigências de reserva de cargos para pessoa com deficiência e para reabilitado da Previdência Social, previstas em lei e em outras normas específicas.</w:t>
      </w:r>
    </w:p>
    <w:p w14:paraId="40F8CAF4">
      <w:pPr>
        <w:spacing w:line="360" w:lineRule="auto"/>
        <w:ind w:right="-285" w:firstLine="142"/>
        <w:jc w:val="both"/>
        <w:rPr>
          <w:sz w:val="24"/>
          <w:szCs w:val="24"/>
        </w:rPr>
      </w:pPr>
    </w:p>
    <w:p w14:paraId="238ECC42">
      <w:pPr>
        <w:spacing w:line="360" w:lineRule="auto"/>
        <w:ind w:right="-285" w:firstLine="142"/>
        <w:jc w:val="center"/>
        <w:rPr>
          <w:sz w:val="24"/>
          <w:szCs w:val="24"/>
        </w:rPr>
      </w:pPr>
      <w:r>
        <w:rPr>
          <w:sz w:val="24"/>
          <w:szCs w:val="24"/>
        </w:rPr>
        <w:t>Valença, _____ de ___________________de _______.</w:t>
      </w:r>
    </w:p>
    <w:p w14:paraId="383EBCBF">
      <w:pPr>
        <w:spacing w:line="360" w:lineRule="auto"/>
        <w:ind w:right="-285" w:firstLine="142"/>
        <w:jc w:val="both"/>
        <w:rPr>
          <w:sz w:val="24"/>
          <w:szCs w:val="24"/>
        </w:rPr>
      </w:pPr>
    </w:p>
    <w:p w14:paraId="59DBAAC6">
      <w:pPr>
        <w:ind w:right="-284" w:firstLine="142"/>
        <w:jc w:val="center"/>
        <w:rPr>
          <w:sz w:val="24"/>
          <w:szCs w:val="24"/>
        </w:rPr>
      </w:pPr>
      <w:r>
        <w:rPr>
          <w:sz w:val="24"/>
          <w:szCs w:val="24"/>
        </w:rPr>
        <w:t>______________________________________________________</w:t>
      </w:r>
    </w:p>
    <w:p w14:paraId="5B336165">
      <w:pPr>
        <w:pStyle w:val="15"/>
        <w:ind w:right="-284" w:firstLine="142"/>
        <w:jc w:val="center"/>
        <w:rPr>
          <w:rFonts w:ascii="Times New Roman" w:hAnsi="Times New Roman" w:cs="Times New Roman"/>
        </w:rPr>
      </w:pPr>
      <w:r>
        <w:rPr>
          <w:rFonts w:ascii="Times New Roman" w:hAnsi="Times New Roman" w:cs="Times New Roman"/>
        </w:rPr>
        <w:t>CONTRATADA</w:t>
      </w:r>
    </w:p>
    <w:p w14:paraId="5D2C3602">
      <w:pPr>
        <w:pStyle w:val="15"/>
        <w:ind w:right="-284" w:firstLine="142"/>
        <w:jc w:val="center"/>
        <w:rPr>
          <w:rFonts w:ascii="Times New Roman" w:hAnsi="Times New Roman" w:cs="Times New Roman"/>
        </w:rPr>
      </w:pPr>
      <w:r>
        <w:rPr>
          <w:rFonts w:ascii="Times New Roman" w:hAnsi="Times New Roman" w:cs="Times New Roman"/>
        </w:rPr>
        <w:t>REPRESENTANTE LEGAL DA EMPRESA</w:t>
      </w:r>
    </w:p>
    <w:p w14:paraId="5D0FE830">
      <w:pPr>
        <w:pStyle w:val="15"/>
        <w:ind w:right="-284" w:firstLine="142"/>
        <w:jc w:val="center"/>
        <w:rPr>
          <w:rFonts w:ascii="Times New Roman" w:hAnsi="Times New Roman" w:cs="Times New Roman"/>
        </w:rPr>
      </w:pPr>
      <w:r>
        <w:rPr>
          <w:rFonts w:ascii="Times New Roman" w:hAnsi="Times New Roman" w:cs="Times New Roman"/>
        </w:rPr>
        <w:t>(Nome, cargo e carimbo da empresa)</w:t>
      </w:r>
    </w:p>
    <w:sectPr>
      <w:headerReference r:id="rId5" w:type="default"/>
      <w:footerReference r:id="rId6" w:type="default"/>
      <w:pgSz w:w="11900" w:h="16820"/>
      <w:pgMar w:top="566" w:right="1552" w:bottom="314" w:left="1580" w:header="0" w:footer="49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000247B" w:usb2="00000009" w:usb3="00000000" w:csb0="200001FF" w:csb1="00000000"/>
  </w:font>
  <w:font w:name="Georgia">
    <w:panose1 w:val="02040502050405020303"/>
    <w:charset w:val="00"/>
    <w:family w:val="roman"/>
    <w:pitch w:val="default"/>
    <w:sig w:usb0="00000287" w:usb1="00000000" w:usb2="00000000" w:usb3="00000000" w:csb0="2000009F" w:csb1="00000000"/>
  </w:font>
  <w:font w:name="ArialMT">
    <w:altName w:val="Times New Roman"/>
    <w:panose1 w:val="00000000000000000000"/>
    <w:charset w:val="00"/>
    <w:family w:val="roman"/>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Minion Pro">
    <w:altName w:val="Cambria"/>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Century Gothic">
    <w:panose1 w:val="020B0502020202020204"/>
    <w:charset w:val="00"/>
    <w:family w:val="swiss"/>
    <w:pitch w:val="default"/>
    <w:sig w:usb0="00000287" w:usb1="00000000" w:usb2="00000000" w:usb3="00000000" w:csb0="2000009F" w:csb1="DFD70000"/>
  </w:font>
  <w:font w:name="Tahoma">
    <w:panose1 w:val="020B0604030504040204"/>
    <w:charset w:val="00"/>
    <w:family w:val="swiss"/>
    <w:pitch w:val="default"/>
    <w:sig w:usb0="E1002EFF" w:usb1="C000605B" w:usb2="00000029" w:usb3="00000000" w:csb0="200101FF" w:csb1="20280000"/>
  </w:font>
  <w:font w:name="MS Mincho">
    <w:altName w:val="Segoe Print"/>
    <w:panose1 w:val="02020609040205080304"/>
    <w:charset w:val="00"/>
    <w:family w:val="auto"/>
    <w:pitch w:val="default"/>
    <w:sig w:usb0="00000000" w:usb1="00000000" w:usb2="00000000" w:usb3="00000000" w:csb0="00000000" w:csb1="00000000"/>
  </w:font>
  <w:font w:name="ＭＳ 明朝">
    <w:altName w:val="Segoe Print"/>
    <w:panose1 w:val="00000000000000000000"/>
    <w:charset w:val="00"/>
    <w:family w:val="auto"/>
    <w:pitch w:val="default"/>
    <w:sig w:usb0="00000000" w:usb1="00000000" w:usb2="00000000" w:usb3="00000000" w:csb0="00000000" w:csb1="00000000"/>
  </w:font>
  <w:font w:name="Ecofont_Spranq_eco_Sans">
    <w:altName w:val="Calibri"/>
    <w:panose1 w:val="00000000000000000000"/>
    <w:charset w:val="00"/>
    <w:family w:val="swiss"/>
    <w:pitch w:val="default"/>
    <w:sig w:usb0="00000000" w:usb1="00000000" w:usb2="00000000" w:usb3="00000000" w:csb0="00000001" w:csb1="00000000"/>
  </w:font>
  <w:font w:name="Arial Unicode MS">
    <w:altName w:val="Arial"/>
    <w:panose1 w:val="020B0604020202020204"/>
    <w:charset w:val="80"/>
    <w:family w:val="swiss"/>
    <w:pitch w:val="default"/>
    <w:sig w:usb0="00000000" w:usb1="00000000" w:usb2="0000003F" w:usb3="00000000" w:csb0="003F01FF" w:csb1="00000000"/>
  </w:font>
  <w:font w:name="WenQuanYi Micro Hei">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Lohit Hindi">
    <w:altName w:val="Times New Roman"/>
    <w:panose1 w:val="00000000000000000000"/>
    <w:charset w:val="00"/>
    <w:family w:val="roman"/>
    <w:pitch w:val="default"/>
    <w:sig w:usb0="00000000" w:usb1="00000000" w:usb2="00000000" w:usb3="00000000" w:csb0="00000000" w:csb1="00000000"/>
  </w:font>
  <w:font w:name="Zurich BT">
    <w:altName w:val="Segoe Print"/>
    <w:panose1 w:val="00000000000000000000"/>
    <w:charset w:val="00"/>
    <w:family w:val="roman"/>
    <w:pitch w:val="default"/>
    <w:sig w:usb0="00000000" w:usb1="00000000" w:usb2="00000000" w:usb3="00000000" w:csb0="00000000" w:csb1="00000000"/>
  </w:font>
  <w:font w:name="Book Antiqua">
    <w:panose1 w:val="02040602050305030304"/>
    <w:charset w:val="00"/>
    <w:family w:val="roman"/>
    <w:pitch w:val="default"/>
    <w:sig w:usb0="00000287" w:usb1="00000000" w:usb2="00000000" w:usb3="00000000" w:csb0="2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68AB70">
    <w:pPr>
      <w:pStyle w:val="23"/>
      <w:jc w:val="right"/>
    </w:pPr>
    <w:r>
      <w:rPr>
        <w:color w:val="4F81BD" w:themeColor="accent1"/>
        <w14:textFill>
          <w14:solidFill>
            <w14:schemeClr w14:val="accent1"/>
          </w14:solidFill>
        </w14:textFill>
      </w:rPr>
      <w:t xml:space="preserve">pág. </w:t>
    </w:r>
    <w:r>
      <w:rPr>
        <w:color w:val="4F81BD" w:themeColor="accent1"/>
        <w14:textFill>
          <w14:solidFill>
            <w14:schemeClr w14:val="accent1"/>
          </w14:solidFill>
        </w14:textFill>
      </w:rPr>
      <w:fldChar w:fldCharType="begin"/>
    </w:r>
    <w:r>
      <w:rPr>
        <w:color w:val="4F81BD" w:themeColor="accent1"/>
        <w14:textFill>
          <w14:solidFill>
            <w14:schemeClr w14:val="accent1"/>
          </w14:solidFill>
        </w14:textFill>
      </w:rPr>
      <w:instrText xml:space="preserve">PAGE  \* Arabic</w:instrText>
    </w:r>
    <w:r>
      <w:rPr>
        <w:color w:val="4F81BD" w:themeColor="accent1"/>
        <w14:textFill>
          <w14:solidFill>
            <w14:schemeClr w14:val="accent1"/>
          </w14:solidFill>
        </w14:textFill>
      </w:rPr>
      <w:fldChar w:fldCharType="separate"/>
    </w:r>
    <w:r>
      <w:rPr>
        <w:color w:val="4F81BD" w:themeColor="accent1"/>
        <w14:textFill>
          <w14:solidFill>
            <w14:schemeClr w14:val="accent1"/>
          </w14:solidFill>
        </w14:textFill>
      </w:rPr>
      <w:t>2</w:t>
    </w:r>
    <w:r>
      <w:rPr>
        <w:color w:val="4F81BD" w:themeColor="accent1"/>
        <w14:textFill>
          <w14:solidFill>
            <w14:schemeClr w14:val="accent1"/>
          </w14:solidFill>
        </w14:textFill>
      </w:rPr>
      <w:fldChar w:fldCharType="end"/>
    </w:r>
  </w:p>
  <w:p w14:paraId="0C85C18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90AB87">
    <w:pPr>
      <w:pStyle w:val="23"/>
      <w:jc w:val="right"/>
    </w:pPr>
    <w:r>
      <w:rPr>
        <w:color w:val="4F81BD" w:themeColor="accent1"/>
        <w14:textFill>
          <w14:solidFill>
            <w14:schemeClr w14:val="accent1"/>
          </w14:solidFill>
        </w14:textFill>
      </w:rPr>
      <w:t xml:space="preserve">pág. </w:t>
    </w:r>
    <w:r>
      <w:rPr>
        <w:color w:val="4F81BD" w:themeColor="accent1"/>
        <w14:textFill>
          <w14:solidFill>
            <w14:schemeClr w14:val="accent1"/>
          </w14:solidFill>
        </w14:textFill>
      </w:rPr>
      <w:fldChar w:fldCharType="begin"/>
    </w:r>
    <w:r>
      <w:rPr>
        <w:color w:val="4F81BD" w:themeColor="accent1"/>
        <w14:textFill>
          <w14:solidFill>
            <w14:schemeClr w14:val="accent1"/>
          </w14:solidFill>
        </w14:textFill>
      </w:rPr>
      <w:instrText xml:space="preserve">PAGE  \* Arabic</w:instrText>
    </w:r>
    <w:r>
      <w:rPr>
        <w:color w:val="4F81BD" w:themeColor="accent1"/>
        <w14:textFill>
          <w14:solidFill>
            <w14:schemeClr w14:val="accent1"/>
          </w14:solidFill>
        </w14:textFill>
      </w:rPr>
      <w:fldChar w:fldCharType="separate"/>
    </w:r>
    <w:r>
      <w:rPr>
        <w:color w:val="4F81BD" w:themeColor="accent1"/>
        <w14:textFill>
          <w14:solidFill>
            <w14:schemeClr w14:val="accent1"/>
          </w14:solidFill>
        </w14:textFill>
      </w:rPr>
      <w:t>112</w:t>
    </w:r>
    <w:r>
      <w:rPr>
        <w:color w:val="4F81BD" w:themeColor="accent1"/>
        <w14:textFill>
          <w14:solidFill>
            <w14:schemeClr w14:val="accent1"/>
          </w14:solidFill>
        </w14:textFill>
      </w:rPr>
      <w:fldChar w:fldCharType="end"/>
    </w:r>
  </w:p>
  <w:p w14:paraId="44DD60A9">
    <w:pPr>
      <w:pBdr>
        <w:top w:val="none" w:color="auto" w:sz="0" w:space="0"/>
        <w:left w:val="none" w:color="auto" w:sz="0" w:space="0"/>
        <w:bottom w:val="none" w:color="auto" w:sz="0" w:space="0"/>
        <w:right w:val="none" w:color="auto" w:sz="0" w:space="0"/>
        <w:between w:val="none" w:color="auto" w:sz="0" w:space="0"/>
      </w:pBdr>
      <w:tabs>
        <w:tab w:val="center" w:pos="4252"/>
        <w:tab w:val="right" w:pos="8504"/>
      </w:tabs>
      <w:rPr>
        <w:color w:val="00000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F3F86C">
    <w:pPr>
      <w:pStyle w:val="21"/>
      <w:tabs>
        <w:tab w:val="center" w:pos="2127"/>
      </w:tabs>
      <w:rPr>
        <w:rFonts w:ascii="Book Antiqua" w:hAnsi="Book Antiqua"/>
        <w:b/>
        <w:sz w:val="28"/>
        <w:szCs w:val="28"/>
      </w:rPr>
    </w:pPr>
    <w:r>
      <w:drawing>
        <wp:anchor distT="0" distB="0" distL="114300" distR="114300" simplePos="0" relativeHeight="251661312" behindDoc="1" locked="0" layoutInCell="1" allowOverlap="1">
          <wp:simplePos x="0" y="0"/>
          <wp:positionH relativeFrom="rightMargin">
            <wp:posOffset>-5745480</wp:posOffset>
          </wp:positionH>
          <wp:positionV relativeFrom="paragraph">
            <wp:posOffset>10160</wp:posOffset>
          </wp:positionV>
          <wp:extent cx="705485" cy="812165"/>
          <wp:effectExtent l="0" t="0" r="0" b="6985"/>
          <wp:wrapSquare wrapText="bothSides"/>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m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705485" cy="812165"/>
                  </a:xfrm>
                  <a:prstGeom prst="rect">
                    <a:avLst/>
                  </a:prstGeom>
                  <a:noFill/>
                </pic:spPr>
              </pic:pic>
            </a:graphicData>
          </a:graphic>
        </wp:anchor>
      </w:drawing>
    </w:r>
  </w:p>
  <w:p w14:paraId="7B8DFF5A">
    <w:pPr>
      <w:pStyle w:val="21"/>
      <w:tabs>
        <w:tab w:val="center" w:pos="2127"/>
      </w:tabs>
      <w:jc w:val="center"/>
      <w:rPr>
        <w:rFonts w:ascii="Book Antiqua" w:hAnsi="Book Antiqua"/>
        <w:b/>
        <w:sz w:val="28"/>
        <w:szCs w:val="28"/>
      </w:rPr>
    </w:pPr>
    <w:r>
      <w:rPr>
        <w:rFonts w:ascii="Book Antiqua" w:hAnsi="Book Antiqua"/>
        <w:b/>
        <w:sz w:val="28"/>
        <w:szCs w:val="28"/>
      </w:rPr>
      <w:t>ESTADO DO RIO DE JANEIRO</w:t>
    </w:r>
  </w:p>
  <w:p w14:paraId="118A21C6">
    <w:pPr>
      <w:pStyle w:val="21"/>
      <w:tabs>
        <w:tab w:val="center" w:pos="2127"/>
      </w:tabs>
      <w:jc w:val="center"/>
      <w:rPr>
        <w:rFonts w:ascii="Book Antiqua" w:hAnsi="Book Antiqua"/>
        <w:b/>
        <w:sz w:val="28"/>
        <w:szCs w:val="28"/>
      </w:rPr>
    </w:pPr>
    <w:r>
      <w:rPr>
        <w:rFonts w:ascii="Book Antiqua" w:hAnsi="Book Antiqua"/>
        <w:b/>
        <w:sz w:val="28"/>
        <w:szCs w:val="28"/>
      </w:rPr>
      <w:t>PREFEITURA MUNICIPAL DE VALENÇA</w:t>
    </w:r>
  </w:p>
  <w:p w14:paraId="7B3E68FD">
    <w:pPr>
      <w:pStyle w:val="21"/>
      <w:tabs>
        <w:tab w:val="center" w:pos="2127"/>
      </w:tabs>
      <w:jc w:val="center"/>
      <w:rPr>
        <w:rFonts w:ascii="Book Antiqua" w:hAnsi="Book Antiqua"/>
        <w:b/>
        <w:sz w:val="28"/>
        <w:szCs w:val="28"/>
      </w:rPr>
    </w:pPr>
    <w:r>
      <w:rPr>
        <w:rFonts w:ascii="Book Antiqua" w:hAnsi="Book Antiqua"/>
        <w:b/>
        <w:sz w:val="28"/>
        <w:szCs w:val="28"/>
      </w:rPr>
      <w:t xml:space="preserve">  DEPARTAMENTO DE COMPRAS E LICITAÇÕES</w:t>
    </w:r>
  </w:p>
  <w:p w14:paraId="244EBDBA">
    <w:pPr>
      <w:tabs>
        <w:tab w:val="center" w:pos="3686"/>
        <w:tab w:val="center" w:pos="4252"/>
        <w:tab w:val="right" w:pos="8504"/>
        <w:tab w:val="right" w:pos="9356"/>
      </w:tabs>
      <w:spacing w:line="276" w:lineRule="auto"/>
      <w:ind w:left="-426"/>
      <w:jc w:val="center"/>
      <w:rPr>
        <w:rFonts w:ascii="Arial" w:hAnsi="Arial" w:eastAsia="Arial" w:cs="Arial"/>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335529">
    <w:pPr>
      <w:pStyle w:val="21"/>
      <w:tabs>
        <w:tab w:val="center" w:pos="2127"/>
      </w:tabs>
      <w:rPr>
        <w:rFonts w:ascii="Book Antiqua" w:hAnsi="Book Antiqua"/>
        <w:b/>
        <w:sz w:val="28"/>
        <w:szCs w:val="28"/>
      </w:rPr>
    </w:pPr>
    <w:r>
      <w:drawing>
        <wp:anchor distT="0" distB="0" distL="114300" distR="114300" simplePos="0" relativeHeight="251660288" behindDoc="1" locked="0" layoutInCell="1" allowOverlap="1">
          <wp:simplePos x="0" y="0"/>
          <wp:positionH relativeFrom="rightMargin">
            <wp:posOffset>-5745480</wp:posOffset>
          </wp:positionH>
          <wp:positionV relativeFrom="paragraph">
            <wp:posOffset>10160</wp:posOffset>
          </wp:positionV>
          <wp:extent cx="705485" cy="812165"/>
          <wp:effectExtent l="0" t="0" r="0" b="6985"/>
          <wp:wrapSquare wrapText="bothSides"/>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705485" cy="812165"/>
                  </a:xfrm>
                  <a:prstGeom prst="rect">
                    <a:avLst/>
                  </a:prstGeom>
                  <a:noFill/>
                </pic:spPr>
              </pic:pic>
            </a:graphicData>
          </a:graphic>
        </wp:anchor>
      </w:drawing>
    </w:r>
  </w:p>
  <w:p w14:paraId="1656DBB1">
    <w:pPr>
      <w:pStyle w:val="21"/>
      <w:tabs>
        <w:tab w:val="center" w:pos="2127"/>
      </w:tabs>
      <w:jc w:val="center"/>
      <w:rPr>
        <w:rFonts w:ascii="Book Antiqua" w:hAnsi="Book Antiqua"/>
        <w:b/>
        <w:sz w:val="28"/>
        <w:szCs w:val="28"/>
      </w:rPr>
    </w:pPr>
    <w:r>
      <w:rPr>
        <w:rFonts w:ascii="Book Antiqua" w:hAnsi="Book Antiqua"/>
        <w:b/>
        <w:sz w:val="28"/>
        <w:szCs w:val="28"/>
      </w:rPr>
      <w:t>ESTADO DO RIO DE JANEIRO</w:t>
    </w:r>
  </w:p>
  <w:p w14:paraId="1D36C7F4">
    <w:pPr>
      <w:pStyle w:val="21"/>
      <w:tabs>
        <w:tab w:val="center" w:pos="2127"/>
      </w:tabs>
      <w:jc w:val="center"/>
      <w:rPr>
        <w:rFonts w:ascii="Book Antiqua" w:hAnsi="Book Antiqua"/>
        <w:b/>
        <w:sz w:val="28"/>
        <w:szCs w:val="28"/>
      </w:rPr>
    </w:pPr>
    <w:r>
      <w:rPr>
        <w:rFonts w:ascii="Book Antiqua" w:hAnsi="Book Antiqua"/>
        <w:b/>
        <w:sz w:val="28"/>
        <w:szCs w:val="28"/>
      </w:rPr>
      <w:t>PREFEITURA MUNICIPAL DE VALENÇA</w:t>
    </w:r>
  </w:p>
  <w:p w14:paraId="59A1AD63">
    <w:pPr>
      <w:pStyle w:val="21"/>
      <w:tabs>
        <w:tab w:val="center" w:pos="2127"/>
      </w:tabs>
      <w:jc w:val="center"/>
      <w:rPr>
        <w:rFonts w:ascii="Book Antiqua" w:hAnsi="Book Antiqua"/>
        <w:b/>
        <w:sz w:val="28"/>
        <w:szCs w:val="28"/>
      </w:rPr>
    </w:pPr>
    <w:r>
      <w:rPr>
        <w:rFonts w:ascii="Book Antiqua" w:hAnsi="Book Antiqua"/>
        <w:b/>
        <w:sz w:val="28"/>
        <w:szCs w:val="28"/>
      </w:rPr>
      <w:t xml:space="preserve">  DEPARTAMENTO DE COMPRAS E LICITAÇÕES</w:t>
    </w:r>
  </w:p>
  <w:p w14:paraId="222092CA">
    <w:pPr>
      <w:widowControl w:val="0"/>
      <w:pBdr>
        <w:top w:val="none" w:color="auto" w:sz="0" w:space="0"/>
        <w:left w:val="none" w:color="auto" w:sz="0" w:space="0"/>
        <w:bottom w:val="none" w:color="auto" w:sz="0" w:space="0"/>
        <w:right w:val="none" w:color="auto" w:sz="0" w:space="0"/>
        <w:between w:val="none" w:color="auto" w:sz="0" w:space="0"/>
      </w:pBdr>
      <w:spacing w:line="276" w:lineRule="auto"/>
      <w:rPr>
        <w:sz w:val="24"/>
        <w:szCs w:val="24"/>
      </w:rPr>
    </w:pPr>
  </w:p>
  <w:tbl>
    <w:tblPr>
      <w:tblStyle w:val="41"/>
      <w:tblW w:w="10538" w:type="dxa"/>
      <w:tblInd w:w="-28" w:type="dxa"/>
      <w:tblLayout w:type="fixed"/>
      <w:tblCellMar>
        <w:top w:w="0" w:type="dxa"/>
        <w:left w:w="70" w:type="dxa"/>
        <w:bottom w:w="0" w:type="dxa"/>
        <w:right w:w="70" w:type="dxa"/>
      </w:tblCellMar>
    </w:tblPr>
    <w:tblGrid>
      <w:gridCol w:w="945"/>
      <w:gridCol w:w="9422"/>
      <w:gridCol w:w="171"/>
    </w:tblGrid>
    <w:tr w14:paraId="663B8DD8">
      <w:tblPrEx>
        <w:tblCellMar>
          <w:top w:w="0" w:type="dxa"/>
          <w:left w:w="70" w:type="dxa"/>
          <w:bottom w:w="0" w:type="dxa"/>
          <w:right w:w="70" w:type="dxa"/>
        </w:tblCellMar>
      </w:tblPrEx>
      <w:trPr>
        <w:cantSplit/>
        <w:trHeight w:val="192" w:hRule="atLeast"/>
      </w:trPr>
      <w:tc>
        <w:tcPr>
          <w:tcW w:w="945" w:type="dxa"/>
        </w:tcPr>
        <w:p w14:paraId="1047C079">
          <w:pPr>
            <w:pStyle w:val="21"/>
            <w:tabs>
              <w:tab w:val="center" w:pos="2127"/>
            </w:tabs>
            <w:jc w:val="center"/>
            <w:rPr>
              <w:rFonts w:ascii="Book Antiqua" w:hAnsi="Book Antiqua"/>
              <w:b/>
              <w:sz w:val="28"/>
              <w:szCs w:val="28"/>
            </w:rPr>
          </w:pPr>
        </w:p>
        <w:p w14:paraId="56AC137E">
          <w:pPr>
            <w:pBdr>
              <w:top w:val="none" w:color="auto" w:sz="0" w:space="0"/>
              <w:left w:val="none" w:color="auto" w:sz="0" w:space="0"/>
              <w:bottom w:val="none" w:color="auto" w:sz="0" w:space="0"/>
              <w:right w:val="none" w:color="auto" w:sz="0" w:space="0"/>
              <w:between w:val="none" w:color="auto" w:sz="0" w:space="0"/>
            </w:pBdr>
            <w:tabs>
              <w:tab w:val="center" w:pos="4419"/>
              <w:tab w:val="right" w:pos="8838"/>
            </w:tabs>
            <w:jc w:val="both"/>
            <w:rPr>
              <w:rFonts w:ascii="Arial" w:hAnsi="Arial" w:eastAsia="Arial" w:cs="Arial"/>
              <w:color w:val="000000"/>
            </w:rPr>
          </w:pPr>
        </w:p>
      </w:tc>
      <w:tc>
        <w:tcPr>
          <w:tcW w:w="9422" w:type="dxa"/>
          <w:vAlign w:val="center"/>
        </w:tcPr>
        <w:p w14:paraId="49CC65AC">
          <w:pPr>
            <w:pStyle w:val="21"/>
            <w:tabs>
              <w:tab w:val="center" w:pos="2127"/>
            </w:tabs>
            <w:rPr>
              <w:rFonts w:ascii="Book Antiqua" w:hAnsi="Book Antiqua"/>
              <w:b/>
              <w:sz w:val="28"/>
              <w:szCs w:val="28"/>
            </w:rPr>
          </w:pPr>
        </w:p>
      </w:tc>
      <w:tc>
        <w:tcPr>
          <w:tcW w:w="171" w:type="dxa"/>
        </w:tcPr>
        <w:p w14:paraId="41654CAE">
          <w:pPr>
            <w:pBdr>
              <w:top w:val="none" w:color="auto" w:sz="0" w:space="0"/>
              <w:left w:val="none" w:color="auto" w:sz="0" w:space="0"/>
              <w:bottom w:val="none" w:color="auto" w:sz="0" w:space="0"/>
              <w:right w:val="none" w:color="auto" w:sz="0" w:space="0"/>
              <w:between w:val="none" w:color="auto" w:sz="0" w:space="0"/>
            </w:pBdr>
            <w:tabs>
              <w:tab w:val="center" w:pos="4419"/>
              <w:tab w:val="right" w:pos="8838"/>
            </w:tabs>
            <w:jc w:val="both"/>
            <w:rPr>
              <w:rFonts w:ascii="Arial" w:hAnsi="Arial" w:eastAsia="Arial" w:cs="Arial"/>
              <w:b/>
              <w:color w:val="000000"/>
              <w:sz w:val="18"/>
              <w:szCs w:val="18"/>
            </w:rPr>
          </w:pPr>
        </w:p>
      </w:tc>
    </w:tr>
    <w:tr w14:paraId="136944EE">
      <w:tblPrEx>
        <w:tblCellMar>
          <w:top w:w="0" w:type="dxa"/>
          <w:left w:w="70" w:type="dxa"/>
          <w:bottom w:w="0" w:type="dxa"/>
          <w:right w:w="70" w:type="dxa"/>
        </w:tblCellMar>
      </w:tblPrEx>
      <w:trPr>
        <w:cantSplit/>
        <w:trHeight w:val="80" w:hRule="atLeast"/>
      </w:trPr>
      <w:tc>
        <w:tcPr>
          <w:tcW w:w="945" w:type="dxa"/>
          <w:tcBorders>
            <w:bottom w:val="single" w:color="000000" w:sz="4" w:space="0"/>
          </w:tcBorders>
        </w:tcPr>
        <w:p w14:paraId="15BD811F">
          <w:pPr>
            <w:pBdr>
              <w:top w:val="none" w:color="auto" w:sz="0" w:space="0"/>
              <w:left w:val="none" w:color="auto" w:sz="0" w:space="0"/>
              <w:bottom w:val="none" w:color="auto" w:sz="0" w:space="0"/>
              <w:right w:val="none" w:color="auto" w:sz="0" w:space="0"/>
              <w:between w:val="none" w:color="auto" w:sz="0" w:space="0"/>
            </w:pBdr>
            <w:tabs>
              <w:tab w:val="center" w:pos="4419"/>
              <w:tab w:val="right" w:pos="8838"/>
            </w:tabs>
            <w:jc w:val="both"/>
            <w:rPr>
              <w:color w:val="000000"/>
              <w:sz w:val="24"/>
              <w:szCs w:val="24"/>
            </w:rPr>
          </w:pPr>
        </w:p>
      </w:tc>
      <w:tc>
        <w:tcPr>
          <w:tcW w:w="9422" w:type="dxa"/>
          <w:tcBorders>
            <w:bottom w:val="single" w:color="000000" w:sz="4" w:space="0"/>
          </w:tcBorders>
          <w:vAlign w:val="center"/>
        </w:tcPr>
        <w:p w14:paraId="220F3A16">
          <w:pPr>
            <w:pBdr>
              <w:top w:val="none" w:color="auto" w:sz="0" w:space="0"/>
              <w:left w:val="none" w:color="auto" w:sz="0" w:space="0"/>
              <w:bottom w:val="none" w:color="auto" w:sz="0" w:space="0"/>
              <w:right w:val="none" w:color="auto" w:sz="0" w:space="0"/>
              <w:between w:val="none" w:color="auto" w:sz="0" w:space="0"/>
            </w:pBdr>
            <w:tabs>
              <w:tab w:val="center" w:pos="4419"/>
              <w:tab w:val="right" w:pos="8838"/>
            </w:tabs>
            <w:jc w:val="both"/>
            <w:rPr>
              <w:rFonts w:ascii="Arial" w:hAnsi="Arial" w:eastAsia="Arial" w:cs="Arial"/>
              <w:color w:val="000000"/>
              <w:sz w:val="24"/>
              <w:szCs w:val="24"/>
            </w:rPr>
          </w:pPr>
        </w:p>
      </w:tc>
      <w:tc>
        <w:tcPr>
          <w:tcW w:w="171" w:type="dxa"/>
          <w:tcBorders>
            <w:bottom w:val="single" w:color="000000" w:sz="4" w:space="0"/>
          </w:tcBorders>
        </w:tcPr>
        <w:p w14:paraId="3D341DD5">
          <w:pPr>
            <w:pBdr>
              <w:top w:val="none" w:color="auto" w:sz="0" w:space="0"/>
              <w:left w:val="none" w:color="auto" w:sz="0" w:space="0"/>
              <w:bottom w:val="none" w:color="auto" w:sz="0" w:space="0"/>
              <w:right w:val="none" w:color="auto" w:sz="0" w:space="0"/>
              <w:between w:val="none" w:color="auto" w:sz="0" w:space="0"/>
            </w:pBdr>
            <w:tabs>
              <w:tab w:val="center" w:pos="4419"/>
              <w:tab w:val="right" w:pos="8838"/>
            </w:tabs>
            <w:jc w:val="both"/>
            <w:rPr>
              <w:rFonts w:ascii="Arial" w:hAnsi="Arial" w:eastAsia="Arial" w:cs="Arial"/>
              <w:b/>
              <w:color w:val="000000"/>
              <w:sz w:val="18"/>
              <w:szCs w:val="18"/>
            </w:rPr>
          </w:pPr>
        </w:p>
      </w:tc>
    </w:tr>
  </w:tbl>
  <w:p w14:paraId="48861C0D">
    <w:pPr>
      <w:pBdr>
        <w:top w:val="none" w:color="auto" w:sz="0" w:space="0"/>
        <w:left w:val="none" w:color="auto" w:sz="0" w:space="0"/>
        <w:bottom w:val="none" w:color="auto" w:sz="0" w:space="0"/>
        <w:right w:val="none" w:color="auto" w:sz="0" w:space="0"/>
        <w:between w:val="none" w:color="auto" w:sz="0" w:space="0"/>
      </w:pBdr>
      <w:tabs>
        <w:tab w:val="left" w:pos="2880"/>
        <w:tab w:val="center" w:pos="4419"/>
        <w:tab w:val="right" w:pos="8838"/>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9"/>
    <w:multiLevelType w:val="singleLevel"/>
    <w:tmpl w:val="FFFFFF89"/>
    <w:lvl w:ilvl="0" w:tentative="0">
      <w:start w:val="1"/>
      <w:numFmt w:val="bullet"/>
      <w:pStyle w:val="28"/>
      <w:lvlText w:val=""/>
      <w:lvlJc w:val="left"/>
      <w:pPr>
        <w:tabs>
          <w:tab w:val="left" w:pos="360"/>
        </w:tabs>
        <w:ind w:left="360" w:hanging="360"/>
      </w:pPr>
      <w:rPr>
        <w:rFonts w:hint="default" w:ascii="Symbol" w:hAnsi="Symbol"/>
      </w:rPr>
    </w:lvl>
  </w:abstractNum>
  <w:abstractNum w:abstractNumId="1">
    <w:nsid w:val="14DA32CD"/>
    <w:multiLevelType w:val="multilevel"/>
    <w:tmpl w:val="14DA32CD"/>
    <w:lvl w:ilvl="0" w:tentative="0">
      <w:start w:val="1"/>
      <w:numFmt w:val="decimal"/>
      <w:lvlText w:val="%1."/>
      <w:lvlJc w:val="left"/>
      <w:pPr>
        <w:ind w:left="720" w:hanging="360"/>
      </w:pPr>
      <w:rPr>
        <w:rFonts w:hint="default"/>
      </w:rPr>
    </w:lvl>
    <w:lvl w:ilvl="1" w:tentative="0">
      <w:start w:val="2"/>
      <w:numFmt w:val="decimal"/>
      <w:isLgl/>
      <w:lvlText w:val="%1.%2"/>
      <w:lvlJc w:val="left"/>
      <w:pPr>
        <w:ind w:left="720" w:hanging="360"/>
      </w:pPr>
      <w:rPr>
        <w:rFonts w:hint="default"/>
      </w:rPr>
    </w:lvl>
    <w:lvl w:ilvl="2" w:tentative="0">
      <w:start w:val="1"/>
      <w:numFmt w:val="decimal"/>
      <w:isLgl/>
      <w:lvlText w:val="%1.%2.%3"/>
      <w:lvlJc w:val="left"/>
      <w:pPr>
        <w:ind w:left="1080" w:hanging="720"/>
      </w:pPr>
      <w:rPr>
        <w:rFonts w:hint="default"/>
      </w:rPr>
    </w:lvl>
    <w:lvl w:ilvl="3" w:tentative="0">
      <w:start w:val="1"/>
      <w:numFmt w:val="decimal"/>
      <w:isLgl/>
      <w:lvlText w:val="%1.%2.%3.%4"/>
      <w:lvlJc w:val="left"/>
      <w:pPr>
        <w:ind w:left="1080" w:hanging="720"/>
      </w:pPr>
      <w:rPr>
        <w:rFonts w:hint="default"/>
      </w:rPr>
    </w:lvl>
    <w:lvl w:ilvl="4" w:tentative="0">
      <w:start w:val="1"/>
      <w:numFmt w:val="decimal"/>
      <w:isLgl/>
      <w:lvlText w:val="%1.%2.%3.%4.%5"/>
      <w:lvlJc w:val="left"/>
      <w:pPr>
        <w:ind w:left="1440" w:hanging="1080"/>
      </w:pPr>
      <w:rPr>
        <w:rFonts w:hint="default"/>
      </w:rPr>
    </w:lvl>
    <w:lvl w:ilvl="5" w:tentative="0">
      <w:start w:val="1"/>
      <w:numFmt w:val="decimal"/>
      <w:isLgl/>
      <w:lvlText w:val="%1.%2.%3.%4.%5.%6"/>
      <w:lvlJc w:val="left"/>
      <w:pPr>
        <w:ind w:left="1440" w:hanging="1080"/>
      </w:pPr>
      <w:rPr>
        <w:rFonts w:hint="default"/>
      </w:rPr>
    </w:lvl>
    <w:lvl w:ilvl="6" w:tentative="0">
      <w:start w:val="1"/>
      <w:numFmt w:val="decimal"/>
      <w:isLgl/>
      <w:lvlText w:val="%1.%2.%3.%4.%5.%6.%7"/>
      <w:lvlJc w:val="left"/>
      <w:pPr>
        <w:ind w:left="1800" w:hanging="1440"/>
      </w:pPr>
      <w:rPr>
        <w:rFonts w:hint="default"/>
      </w:rPr>
    </w:lvl>
    <w:lvl w:ilvl="7" w:tentative="0">
      <w:start w:val="1"/>
      <w:numFmt w:val="decimal"/>
      <w:isLgl/>
      <w:lvlText w:val="%1.%2.%3.%4.%5.%6.%7.%8"/>
      <w:lvlJc w:val="left"/>
      <w:pPr>
        <w:ind w:left="1800" w:hanging="1440"/>
      </w:pPr>
      <w:rPr>
        <w:rFonts w:hint="default"/>
      </w:rPr>
    </w:lvl>
    <w:lvl w:ilvl="8" w:tentative="0">
      <w:start w:val="1"/>
      <w:numFmt w:val="decimal"/>
      <w:isLgl/>
      <w:lvlText w:val="%1.%2.%3.%4.%5.%6.%7.%8.%9"/>
      <w:lvlJc w:val="left"/>
      <w:pPr>
        <w:ind w:left="2160" w:hanging="1800"/>
      </w:pPr>
      <w:rPr>
        <w:rFonts w:hint="default"/>
      </w:rPr>
    </w:lvl>
  </w:abstractNum>
  <w:abstractNum w:abstractNumId="2">
    <w:nsid w:val="1D5C100D"/>
    <w:multiLevelType w:val="multilevel"/>
    <w:tmpl w:val="1D5C100D"/>
    <w:lvl w:ilvl="0" w:tentative="0">
      <w:start w:val="3"/>
      <w:numFmt w:val="decimal"/>
      <w:pStyle w:val="90"/>
      <w:lvlText w:val="%1."/>
      <w:lvlJc w:val="left"/>
      <w:pPr>
        <w:ind w:left="360" w:hanging="360"/>
      </w:pPr>
      <w:rPr>
        <w:rFonts w:hint="default"/>
        <w:b/>
        <w:color w:val="auto"/>
      </w:rPr>
    </w:lvl>
    <w:lvl w:ilvl="1" w:tentative="0">
      <w:start w:val="1"/>
      <w:numFmt w:val="decimal"/>
      <w:lvlText w:val="%1.%2."/>
      <w:lvlJc w:val="left"/>
      <w:pPr>
        <w:ind w:left="432" w:hanging="432"/>
      </w:pPr>
      <w:rPr>
        <w:rFonts w:hint="default"/>
        <w:b w:val="0"/>
        <w:i w:val="0"/>
        <w:strike w:val="0"/>
        <w:dstrike w:val="0"/>
        <w:color w:val="auto"/>
        <w:u w:val="none"/>
      </w:rPr>
    </w:lvl>
    <w:lvl w:ilvl="2" w:tentative="0">
      <w:start w:val="1"/>
      <w:numFmt w:val="decimal"/>
      <w:lvlText w:val="%1.%2.%3."/>
      <w:lvlJc w:val="left"/>
      <w:pPr>
        <w:ind w:left="930" w:hanging="504"/>
      </w:pPr>
      <w:rPr>
        <w:rFonts w:hint="default"/>
        <w:b w:val="0"/>
        <w:i w:val="0"/>
        <w:color w:val="auto"/>
      </w:rPr>
    </w:lvl>
    <w:lvl w:ilvl="3" w:tentative="0">
      <w:start w:val="1"/>
      <w:numFmt w:val="decimal"/>
      <w:lvlText w:val="%1.%2.%3.%4."/>
      <w:lvlJc w:val="left"/>
      <w:pPr>
        <w:ind w:left="164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3">
    <w:nsid w:val="2A6C1A1F"/>
    <w:multiLevelType w:val="multilevel"/>
    <w:tmpl w:val="2A6C1A1F"/>
    <w:lvl w:ilvl="0" w:tentative="0">
      <w:start w:val="6"/>
      <w:numFmt w:val="upperRoman"/>
      <w:lvlText w:val="%1."/>
      <w:lvlJc w:val="right"/>
      <w:pPr>
        <w:tabs>
          <w:tab w:val="left" w:pos="720"/>
        </w:tabs>
        <w:ind w:left="720" w:hanging="360"/>
      </w:pPr>
    </w:lvl>
    <w:lvl w:ilvl="1" w:tentative="0">
      <w:start w:val="1"/>
      <w:numFmt w:val="decimal"/>
      <w:isLgl/>
      <w:lvlText w:val="%1.%2"/>
      <w:lvlJc w:val="left"/>
      <w:pPr>
        <w:ind w:left="735" w:hanging="375"/>
      </w:pPr>
      <w:rPr>
        <w:rFonts w:hint="default"/>
      </w:rPr>
    </w:lvl>
    <w:lvl w:ilvl="2" w:tentative="0">
      <w:start w:val="1"/>
      <w:numFmt w:val="decimal"/>
      <w:isLgl/>
      <w:lvlText w:val="%1.%2.%3"/>
      <w:lvlJc w:val="left"/>
      <w:pPr>
        <w:ind w:left="1080" w:hanging="720"/>
      </w:pPr>
      <w:rPr>
        <w:rFonts w:hint="default"/>
      </w:rPr>
    </w:lvl>
    <w:lvl w:ilvl="3" w:tentative="0">
      <w:start w:val="1"/>
      <w:numFmt w:val="decimal"/>
      <w:isLgl/>
      <w:lvlText w:val="%1.%2.%3.%4"/>
      <w:lvlJc w:val="left"/>
      <w:pPr>
        <w:ind w:left="1080" w:hanging="720"/>
      </w:pPr>
      <w:rPr>
        <w:rFonts w:hint="default"/>
      </w:rPr>
    </w:lvl>
    <w:lvl w:ilvl="4" w:tentative="0">
      <w:start w:val="1"/>
      <w:numFmt w:val="decimalZero"/>
      <w:isLgl/>
      <w:lvlText w:val="%1.%2.%3.%4.%5"/>
      <w:lvlJc w:val="left"/>
      <w:pPr>
        <w:ind w:left="1440" w:hanging="1080"/>
      </w:pPr>
      <w:rPr>
        <w:rFonts w:hint="default"/>
      </w:rPr>
    </w:lvl>
    <w:lvl w:ilvl="5" w:tentative="0">
      <w:start w:val="1"/>
      <w:numFmt w:val="decimal"/>
      <w:isLgl/>
      <w:lvlText w:val="%1.%2.%3.%4.%5.%6"/>
      <w:lvlJc w:val="left"/>
      <w:pPr>
        <w:ind w:left="1440" w:hanging="1080"/>
      </w:pPr>
      <w:rPr>
        <w:rFonts w:hint="default"/>
      </w:rPr>
    </w:lvl>
    <w:lvl w:ilvl="6" w:tentative="0">
      <w:start w:val="1"/>
      <w:numFmt w:val="decimal"/>
      <w:isLgl/>
      <w:lvlText w:val="%1.%2.%3.%4.%5.%6.%7"/>
      <w:lvlJc w:val="left"/>
      <w:pPr>
        <w:ind w:left="1800" w:hanging="1440"/>
      </w:pPr>
      <w:rPr>
        <w:rFonts w:hint="default"/>
      </w:rPr>
    </w:lvl>
    <w:lvl w:ilvl="7" w:tentative="0">
      <w:start w:val="1"/>
      <w:numFmt w:val="decimal"/>
      <w:isLgl/>
      <w:lvlText w:val="%1.%2.%3.%4.%5.%6.%7.%8"/>
      <w:lvlJc w:val="left"/>
      <w:pPr>
        <w:ind w:left="1800" w:hanging="1440"/>
      </w:pPr>
      <w:rPr>
        <w:rFonts w:hint="default"/>
      </w:rPr>
    </w:lvl>
    <w:lvl w:ilvl="8" w:tentative="0">
      <w:start w:val="1"/>
      <w:numFmt w:val="decimal"/>
      <w:isLgl/>
      <w:lvlText w:val="%1.%2.%3.%4.%5.%6.%7.%8.%9"/>
      <w:lvlJc w:val="left"/>
      <w:pPr>
        <w:ind w:left="2160" w:hanging="1800"/>
      </w:pPr>
      <w:rPr>
        <w:rFonts w:hint="default"/>
      </w:rPr>
    </w:lvl>
  </w:abstractNum>
  <w:abstractNum w:abstractNumId="4">
    <w:nsid w:val="391803EF"/>
    <w:multiLevelType w:val="multilevel"/>
    <w:tmpl w:val="391803EF"/>
    <w:lvl w:ilvl="0" w:tentative="0">
      <w:start w:val="1"/>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5">
    <w:nsid w:val="61DD361E"/>
    <w:multiLevelType w:val="multilevel"/>
    <w:tmpl w:val="61DD361E"/>
    <w:lvl w:ilvl="0" w:tentative="0">
      <w:start w:val="1"/>
      <w:numFmt w:val="decimal"/>
      <w:pStyle w:val="89"/>
      <w:lvlText w:val="%1."/>
      <w:lvlJc w:val="left"/>
      <w:pPr>
        <w:ind w:left="502" w:hanging="360"/>
      </w:pPr>
      <w:rPr>
        <w:rFonts w:hint="default"/>
        <w:b/>
        <w:i w:val="0"/>
      </w:rPr>
    </w:lvl>
    <w:lvl w:ilvl="1" w:tentative="0">
      <w:start w:val="1"/>
      <w:numFmt w:val="decimal"/>
      <w:pStyle w:val="91"/>
      <w:suff w:val="space"/>
      <w:lvlText w:val="%1.%2."/>
      <w:lvlJc w:val="left"/>
      <w:pPr>
        <w:ind w:left="851" w:firstLine="0"/>
      </w:pPr>
      <w:rPr>
        <w:rFonts w:hint="default"/>
        <w:b w:val="0"/>
        <w:i w:val="0"/>
        <w:color w:val="auto"/>
      </w:rPr>
    </w:lvl>
    <w:lvl w:ilvl="2" w:tentative="0">
      <w:start w:val="1"/>
      <w:numFmt w:val="decimal"/>
      <w:pStyle w:val="92"/>
      <w:suff w:val="space"/>
      <w:lvlText w:val="%1.%2.%3."/>
      <w:lvlJc w:val="left"/>
      <w:pPr>
        <w:ind w:left="1135" w:firstLine="0"/>
      </w:pPr>
      <w:rPr>
        <w:rFonts w:hint="default"/>
        <w:b w:val="0"/>
        <w:i w:val="0"/>
        <w:color w:val="auto"/>
        <w:sz w:val="20"/>
        <w:szCs w:val="20"/>
      </w:rPr>
    </w:lvl>
    <w:lvl w:ilvl="3" w:tentative="0">
      <w:start w:val="1"/>
      <w:numFmt w:val="decimal"/>
      <w:pStyle w:val="94"/>
      <w:suff w:val="space"/>
      <w:lvlText w:val="%1.%2.%3.%4."/>
      <w:lvlJc w:val="left"/>
      <w:pPr>
        <w:ind w:left="1702" w:firstLine="0"/>
      </w:pPr>
      <w:rPr>
        <w:rFonts w:hint="default" w:ascii="Times New Roman" w:hAnsi="Times New Roman" w:cs="Times New Roman"/>
        <w:b w:val="0"/>
        <w:bCs/>
        <w:i w:val="0"/>
      </w:rPr>
    </w:lvl>
    <w:lvl w:ilvl="4" w:tentative="0">
      <w:start w:val="1"/>
      <w:numFmt w:val="decimal"/>
      <w:suff w:val="space"/>
      <w:lvlText w:val="%1.%2.%3.%4.%5."/>
      <w:lvlJc w:val="left"/>
      <w:pPr>
        <w:ind w:left="1134" w:firstLine="0"/>
      </w:pPr>
      <w:rPr>
        <w:rFonts w:hint="default"/>
        <w:b/>
        <w:i w:val="0"/>
      </w:rPr>
    </w:lvl>
    <w:lvl w:ilvl="5" w:tentative="0">
      <w:start w:val="1"/>
      <w:numFmt w:val="decimal"/>
      <w:lvlText w:val="%1.%2.%3.%4.%5.%6."/>
      <w:lvlJc w:val="left"/>
      <w:pPr>
        <w:tabs>
          <w:tab w:val="left" w:pos="2880"/>
        </w:tabs>
        <w:ind w:left="2736" w:hanging="936"/>
      </w:pPr>
      <w:rPr>
        <w:rFonts w:hint="default"/>
      </w:rPr>
    </w:lvl>
    <w:lvl w:ilvl="6" w:tentative="0">
      <w:start w:val="1"/>
      <w:numFmt w:val="decimal"/>
      <w:lvlText w:val="%1.%2.%3.%4.%5.%6.%7."/>
      <w:lvlJc w:val="left"/>
      <w:pPr>
        <w:tabs>
          <w:tab w:val="left" w:pos="3600"/>
        </w:tabs>
        <w:ind w:left="3240" w:hanging="1080"/>
      </w:pPr>
      <w:rPr>
        <w:rFonts w:hint="default"/>
      </w:rPr>
    </w:lvl>
    <w:lvl w:ilvl="7" w:tentative="0">
      <w:start w:val="1"/>
      <w:numFmt w:val="decimal"/>
      <w:lvlText w:val="%1.%2.%3.%4.%5.%6.%7.%8."/>
      <w:lvlJc w:val="left"/>
      <w:pPr>
        <w:tabs>
          <w:tab w:val="left" w:pos="3960"/>
        </w:tabs>
        <w:ind w:left="3744" w:hanging="1224"/>
      </w:pPr>
      <w:rPr>
        <w:rFonts w:hint="default"/>
      </w:rPr>
    </w:lvl>
    <w:lvl w:ilvl="8" w:tentative="0">
      <w:start w:val="1"/>
      <w:numFmt w:val="decimal"/>
      <w:lvlText w:val="%1.%2.%3.%4.%5.%6.%7.%8.%9."/>
      <w:lvlJc w:val="left"/>
      <w:pPr>
        <w:tabs>
          <w:tab w:val="left" w:pos="4680"/>
        </w:tabs>
        <w:ind w:left="4320" w:hanging="1440"/>
      </w:pPr>
      <w:rPr>
        <w:rFonts w:hint="default"/>
      </w:rPr>
    </w:lvl>
  </w:abstractNum>
  <w:abstractNum w:abstractNumId="6">
    <w:nsid w:val="7DBC77D0"/>
    <w:multiLevelType w:val="multilevel"/>
    <w:tmpl w:val="7DBC77D0"/>
    <w:lvl w:ilvl="0" w:tentative="0">
      <w:start w:val="1"/>
      <w:numFmt w:val="decimal"/>
      <w:lvlText w:val="%1."/>
      <w:lvlJc w:val="left"/>
      <w:pPr>
        <w:ind w:left="720" w:hanging="360"/>
      </w:pPr>
      <w:rPr>
        <w:rFonts w:hint="default"/>
      </w:rPr>
    </w:lvl>
    <w:lvl w:ilvl="1" w:tentative="0">
      <w:start w:val="1"/>
      <w:numFmt w:val="decimal"/>
      <w:isLgl/>
      <w:lvlText w:val="%1.%2"/>
      <w:lvlJc w:val="left"/>
      <w:pPr>
        <w:ind w:left="720" w:hanging="360"/>
      </w:pPr>
      <w:rPr>
        <w:rFonts w:hint="default"/>
      </w:rPr>
    </w:lvl>
    <w:lvl w:ilvl="2" w:tentative="0">
      <w:start w:val="1"/>
      <w:numFmt w:val="decimal"/>
      <w:isLgl/>
      <w:lvlText w:val="%1.%2.%3"/>
      <w:lvlJc w:val="left"/>
      <w:pPr>
        <w:ind w:left="1080" w:hanging="720"/>
      </w:pPr>
      <w:rPr>
        <w:rFonts w:hint="default"/>
      </w:rPr>
    </w:lvl>
    <w:lvl w:ilvl="3" w:tentative="0">
      <w:start w:val="1"/>
      <w:numFmt w:val="decimal"/>
      <w:isLgl/>
      <w:lvlText w:val="%1.%2.%3.%4"/>
      <w:lvlJc w:val="left"/>
      <w:pPr>
        <w:ind w:left="1080" w:hanging="720"/>
      </w:pPr>
      <w:rPr>
        <w:rFonts w:hint="default"/>
      </w:rPr>
    </w:lvl>
    <w:lvl w:ilvl="4" w:tentative="0">
      <w:start w:val="1"/>
      <w:numFmt w:val="decimal"/>
      <w:isLgl/>
      <w:lvlText w:val="%1.%2.%3.%4.%5"/>
      <w:lvlJc w:val="left"/>
      <w:pPr>
        <w:ind w:left="1440" w:hanging="1080"/>
      </w:pPr>
      <w:rPr>
        <w:rFonts w:hint="default"/>
      </w:rPr>
    </w:lvl>
    <w:lvl w:ilvl="5" w:tentative="0">
      <w:start w:val="1"/>
      <w:numFmt w:val="decimal"/>
      <w:isLgl/>
      <w:lvlText w:val="%1.%2.%3.%4.%5.%6"/>
      <w:lvlJc w:val="left"/>
      <w:pPr>
        <w:ind w:left="1440" w:hanging="1080"/>
      </w:pPr>
      <w:rPr>
        <w:rFonts w:hint="default"/>
      </w:rPr>
    </w:lvl>
    <w:lvl w:ilvl="6" w:tentative="0">
      <w:start w:val="1"/>
      <w:numFmt w:val="decimal"/>
      <w:isLgl/>
      <w:lvlText w:val="%1.%2.%3.%4.%5.%6.%7"/>
      <w:lvlJc w:val="left"/>
      <w:pPr>
        <w:ind w:left="1800" w:hanging="1440"/>
      </w:pPr>
      <w:rPr>
        <w:rFonts w:hint="default"/>
      </w:rPr>
    </w:lvl>
    <w:lvl w:ilvl="7" w:tentative="0">
      <w:start w:val="1"/>
      <w:numFmt w:val="decimal"/>
      <w:isLgl/>
      <w:lvlText w:val="%1.%2.%3.%4.%5.%6.%7.%8"/>
      <w:lvlJc w:val="left"/>
      <w:pPr>
        <w:ind w:left="1800" w:hanging="1440"/>
      </w:pPr>
      <w:rPr>
        <w:rFonts w:hint="default"/>
      </w:rPr>
    </w:lvl>
    <w:lvl w:ilvl="8" w:tentative="0">
      <w:start w:val="1"/>
      <w:numFmt w:val="decimal"/>
      <w:isLgl/>
      <w:lvlText w:val="%1.%2.%3.%4.%5.%6.%7.%8.%9"/>
      <w:lvlJc w:val="left"/>
      <w:pPr>
        <w:ind w:left="2160" w:hanging="1800"/>
      </w:pPr>
      <w:rPr>
        <w:rFonts w:hint="default"/>
      </w:rPr>
    </w:lvl>
  </w:abstractNum>
  <w:num w:numId="1">
    <w:abstractNumId w:val="0"/>
  </w:num>
  <w:num w:numId="2">
    <w:abstractNumId w:val="5"/>
  </w:num>
  <w:num w:numId="3">
    <w:abstractNumId w:val="2"/>
  </w:num>
  <w:num w:numId="4">
    <w:abstractNumId w:val="1"/>
  </w:num>
  <w:num w:numId="5">
    <w:abstractNumId w:val="4"/>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documentProtection w:enforcement="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06E"/>
    <w:rsid w:val="00002B55"/>
    <w:rsid w:val="0001108A"/>
    <w:rsid w:val="00031280"/>
    <w:rsid w:val="000337DD"/>
    <w:rsid w:val="00042D77"/>
    <w:rsid w:val="00052E80"/>
    <w:rsid w:val="00054391"/>
    <w:rsid w:val="0005496D"/>
    <w:rsid w:val="00060850"/>
    <w:rsid w:val="00065CF2"/>
    <w:rsid w:val="00084938"/>
    <w:rsid w:val="00085292"/>
    <w:rsid w:val="00093103"/>
    <w:rsid w:val="000978D1"/>
    <w:rsid w:val="000A7559"/>
    <w:rsid w:val="000C3FF4"/>
    <w:rsid w:val="000E355F"/>
    <w:rsid w:val="000F418D"/>
    <w:rsid w:val="00117C41"/>
    <w:rsid w:val="001256EF"/>
    <w:rsid w:val="00126417"/>
    <w:rsid w:val="00126C9A"/>
    <w:rsid w:val="00132AF6"/>
    <w:rsid w:val="00134881"/>
    <w:rsid w:val="00134E13"/>
    <w:rsid w:val="00136938"/>
    <w:rsid w:val="00166543"/>
    <w:rsid w:val="0017474E"/>
    <w:rsid w:val="00180B8B"/>
    <w:rsid w:val="00194F56"/>
    <w:rsid w:val="00197CAC"/>
    <w:rsid w:val="001B33A0"/>
    <w:rsid w:val="001C13C8"/>
    <w:rsid w:val="001C22A8"/>
    <w:rsid w:val="001C53A2"/>
    <w:rsid w:val="001D0FD5"/>
    <w:rsid w:val="001D59C9"/>
    <w:rsid w:val="001D7B8A"/>
    <w:rsid w:val="001E0CE3"/>
    <w:rsid w:val="001E6C6E"/>
    <w:rsid w:val="001F6345"/>
    <w:rsid w:val="0021752F"/>
    <w:rsid w:val="002300D2"/>
    <w:rsid w:val="00240649"/>
    <w:rsid w:val="0024168F"/>
    <w:rsid w:val="00243228"/>
    <w:rsid w:val="0024568F"/>
    <w:rsid w:val="0024684C"/>
    <w:rsid w:val="00256763"/>
    <w:rsid w:val="00261F0F"/>
    <w:rsid w:val="00263F8F"/>
    <w:rsid w:val="00281726"/>
    <w:rsid w:val="00297107"/>
    <w:rsid w:val="002A5389"/>
    <w:rsid w:val="002C02A8"/>
    <w:rsid w:val="002C58AE"/>
    <w:rsid w:val="002D4334"/>
    <w:rsid w:val="002E1E69"/>
    <w:rsid w:val="002E797A"/>
    <w:rsid w:val="002F6F7A"/>
    <w:rsid w:val="00300EE6"/>
    <w:rsid w:val="00321757"/>
    <w:rsid w:val="00322708"/>
    <w:rsid w:val="00333BE0"/>
    <w:rsid w:val="00336D17"/>
    <w:rsid w:val="003631A2"/>
    <w:rsid w:val="0036420F"/>
    <w:rsid w:val="0038596D"/>
    <w:rsid w:val="003A122E"/>
    <w:rsid w:val="003C606F"/>
    <w:rsid w:val="003D05A9"/>
    <w:rsid w:val="003D177A"/>
    <w:rsid w:val="003D2EA0"/>
    <w:rsid w:val="003E6590"/>
    <w:rsid w:val="003F0949"/>
    <w:rsid w:val="003F306E"/>
    <w:rsid w:val="004068F8"/>
    <w:rsid w:val="0041299D"/>
    <w:rsid w:val="0041560B"/>
    <w:rsid w:val="00415D44"/>
    <w:rsid w:val="00420256"/>
    <w:rsid w:val="004253EA"/>
    <w:rsid w:val="00427E1E"/>
    <w:rsid w:val="00454E42"/>
    <w:rsid w:val="00465DEA"/>
    <w:rsid w:val="0047114A"/>
    <w:rsid w:val="00476260"/>
    <w:rsid w:val="00494739"/>
    <w:rsid w:val="0049763F"/>
    <w:rsid w:val="00497AF6"/>
    <w:rsid w:val="004A5906"/>
    <w:rsid w:val="004C63EB"/>
    <w:rsid w:val="004C7C58"/>
    <w:rsid w:val="004D591E"/>
    <w:rsid w:val="004F7D26"/>
    <w:rsid w:val="0055320B"/>
    <w:rsid w:val="005633E2"/>
    <w:rsid w:val="00565277"/>
    <w:rsid w:val="00565B68"/>
    <w:rsid w:val="00567642"/>
    <w:rsid w:val="00575228"/>
    <w:rsid w:val="00585FDB"/>
    <w:rsid w:val="0058624E"/>
    <w:rsid w:val="005A018E"/>
    <w:rsid w:val="005A1DEB"/>
    <w:rsid w:val="005A71A5"/>
    <w:rsid w:val="005B47BC"/>
    <w:rsid w:val="005B7044"/>
    <w:rsid w:val="005C25FD"/>
    <w:rsid w:val="005D24F4"/>
    <w:rsid w:val="005D7DBE"/>
    <w:rsid w:val="005E62EA"/>
    <w:rsid w:val="00601AB8"/>
    <w:rsid w:val="00601FD3"/>
    <w:rsid w:val="00606D9E"/>
    <w:rsid w:val="006404C6"/>
    <w:rsid w:val="006454C5"/>
    <w:rsid w:val="00645BB7"/>
    <w:rsid w:val="006627FF"/>
    <w:rsid w:val="00680E06"/>
    <w:rsid w:val="0068208C"/>
    <w:rsid w:val="00695AB8"/>
    <w:rsid w:val="006A3AB0"/>
    <w:rsid w:val="006A4E5F"/>
    <w:rsid w:val="006F3EE5"/>
    <w:rsid w:val="006F462A"/>
    <w:rsid w:val="006F47BB"/>
    <w:rsid w:val="006F6348"/>
    <w:rsid w:val="007003A0"/>
    <w:rsid w:val="00717B37"/>
    <w:rsid w:val="00721F1E"/>
    <w:rsid w:val="00722A6C"/>
    <w:rsid w:val="00724210"/>
    <w:rsid w:val="00726A2C"/>
    <w:rsid w:val="00734030"/>
    <w:rsid w:val="0074505D"/>
    <w:rsid w:val="00750F6E"/>
    <w:rsid w:val="00761EB1"/>
    <w:rsid w:val="0077566C"/>
    <w:rsid w:val="00776682"/>
    <w:rsid w:val="00777538"/>
    <w:rsid w:val="00793A6C"/>
    <w:rsid w:val="0079449F"/>
    <w:rsid w:val="0079584A"/>
    <w:rsid w:val="007B2B18"/>
    <w:rsid w:val="007C1CCF"/>
    <w:rsid w:val="007D54B2"/>
    <w:rsid w:val="007E6E1B"/>
    <w:rsid w:val="0080251D"/>
    <w:rsid w:val="00802B0D"/>
    <w:rsid w:val="008112DD"/>
    <w:rsid w:val="00812B56"/>
    <w:rsid w:val="00814CF7"/>
    <w:rsid w:val="00814E10"/>
    <w:rsid w:val="00825C70"/>
    <w:rsid w:val="00831C20"/>
    <w:rsid w:val="008407AD"/>
    <w:rsid w:val="008427C3"/>
    <w:rsid w:val="008515C8"/>
    <w:rsid w:val="0086051B"/>
    <w:rsid w:val="008623F3"/>
    <w:rsid w:val="008701B1"/>
    <w:rsid w:val="00894B13"/>
    <w:rsid w:val="008977DB"/>
    <w:rsid w:val="008A076D"/>
    <w:rsid w:val="008A1E6F"/>
    <w:rsid w:val="008B6EC8"/>
    <w:rsid w:val="008D0426"/>
    <w:rsid w:val="008D3AD1"/>
    <w:rsid w:val="008D7F1D"/>
    <w:rsid w:val="008F09ED"/>
    <w:rsid w:val="008F1FAC"/>
    <w:rsid w:val="008F6AEA"/>
    <w:rsid w:val="008F6FE9"/>
    <w:rsid w:val="00901F2D"/>
    <w:rsid w:val="00910089"/>
    <w:rsid w:val="00910F17"/>
    <w:rsid w:val="00913CAF"/>
    <w:rsid w:val="00916315"/>
    <w:rsid w:val="00916A33"/>
    <w:rsid w:val="009226AB"/>
    <w:rsid w:val="00932B6F"/>
    <w:rsid w:val="0093434F"/>
    <w:rsid w:val="00935D0A"/>
    <w:rsid w:val="009372B0"/>
    <w:rsid w:val="00940051"/>
    <w:rsid w:val="0094245E"/>
    <w:rsid w:val="00947D72"/>
    <w:rsid w:val="009549D6"/>
    <w:rsid w:val="00956F0C"/>
    <w:rsid w:val="009652F2"/>
    <w:rsid w:val="00970421"/>
    <w:rsid w:val="009A1021"/>
    <w:rsid w:val="009A7FA7"/>
    <w:rsid w:val="009B11D6"/>
    <w:rsid w:val="009C087C"/>
    <w:rsid w:val="009C30CB"/>
    <w:rsid w:val="009D49ED"/>
    <w:rsid w:val="009F67F4"/>
    <w:rsid w:val="00A06FC3"/>
    <w:rsid w:val="00A07671"/>
    <w:rsid w:val="00A07A86"/>
    <w:rsid w:val="00A07BCE"/>
    <w:rsid w:val="00A12DEA"/>
    <w:rsid w:val="00A15306"/>
    <w:rsid w:val="00A17C82"/>
    <w:rsid w:val="00A362C3"/>
    <w:rsid w:val="00A41EAE"/>
    <w:rsid w:val="00A55C27"/>
    <w:rsid w:val="00A605C5"/>
    <w:rsid w:val="00A64472"/>
    <w:rsid w:val="00A72AA9"/>
    <w:rsid w:val="00A80F0E"/>
    <w:rsid w:val="00A83B30"/>
    <w:rsid w:val="00A83DF7"/>
    <w:rsid w:val="00A92A7A"/>
    <w:rsid w:val="00AB1451"/>
    <w:rsid w:val="00AC6054"/>
    <w:rsid w:val="00AE5A43"/>
    <w:rsid w:val="00AF126C"/>
    <w:rsid w:val="00B25548"/>
    <w:rsid w:val="00B339D5"/>
    <w:rsid w:val="00B355A6"/>
    <w:rsid w:val="00B41BDA"/>
    <w:rsid w:val="00B45852"/>
    <w:rsid w:val="00B50433"/>
    <w:rsid w:val="00B60101"/>
    <w:rsid w:val="00B63089"/>
    <w:rsid w:val="00B6755D"/>
    <w:rsid w:val="00B70F01"/>
    <w:rsid w:val="00B71173"/>
    <w:rsid w:val="00B75E45"/>
    <w:rsid w:val="00B813E0"/>
    <w:rsid w:val="00B83763"/>
    <w:rsid w:val="00B84E83"/>
    <w:rsid w:val="00B85FCD"/>
    <w:rsid w:val="00B94EEA"/>
    <w:rsid w:val="00B97D2A"/>
    <w:rsid w:val="00BA3815"/>
    <w:rsid w:val="00BA47FF"/>
    <w:rsid w:val="00BA5F7F"/>
    <w:rsid w:val="00BB19B6"/>
    <w:rsid w:val="00BB5645"/>
    <w:rsid w:val="00BB7EAC"/>
    <w:rsid w:val="00BC0D34"/>
    <w:rsid w:val="00BC6EF3"/>
    <w:rsid w:val="00BE3D2C"/>
    <w:rsid w:val="00BE4911"/>
    <w:rsid w:val="00BE543F"/>
    <w:rsid w:val="00BE763F"/>
    <w:rsid w:val="00BF5711"/>
    <w:rsid w:val="00C343F9"/>
    <w:rsid w:val="00C42445"/>
    <w:rsid w:val="00C47608"/>
    <w:rsid w:val="00C557EA"/>
    <w:rsid w:val="00C5674C"/>
    <w:rsid w:val="00C87D25"/>
    <w:rsid w:val="00C93727"/>
    <w:rsid w:val="00C97ED5"/>
    <w:rsid w:val="00CA64FC"/>
    <w:rsid w:val="00CC1B49"/>
    <w:rsid w:val="00CD1743"/>
    <w:rsid w:val="00CD4DB6"/>
    <w:rsid w:val="00CE4BEB"/>
    <w:rsid w:val="00CE5054"/>
    <w:rsid w:val="00CF1397"/>
    <w:rsid w:val="00CF6DFB"/>
    <w:rsid w:val="00CF767F"/>
    <w:rsid w:val="00D03E66"/>
    <w:rsid w:val="00D24215"/>
    <w:rsid w:val="00D27F7C"/>
    <w:rsid w:val="00D9343D"/>
    <w:rsid w:val="00D9648C"/>
    <w:rsid w:val="00DA4283"/>
    <w:rsid w:val="00DA79AE"/>
    <w:rsid w:val="00DB11D9"/>
    <w:rsid w:val="00DF6E52"/>
    <w:rsid w:val="00E06FC6"/>
    <w:rsid w:val="00E1354B"/>
    <w:rsid w:val="00E137EB"/>
    <w:rsid w:val="00E15C82"/>
    <w:rsid w:val="00E2218D"/>
    <w:rsid w:val="00E33BE2"/>
    <w:rsid w:val="00E3586C"/>
    <w:rsid w:val="00E6632E"/>
    <w:rsid w:val="00E8554F"/>
    <w:rsid w:val="00EA221C"/>
    <w:rsid w:val="00EA5833"/>
    <w:rsid w:val="00EA7423"/>
    <w:rsid w:val="00EB0614"/>
    <w:rsid w:val="00EB2425"/>
    <w:rsid w:val="00EB5A1E"/>
    <w:rsid w:val="00EB5C39"/>
    <w:rsid w:val="00EC15C9"/>
    <w:rsid w:val="00ED316C"/>
    <w:rsid w:val="00F111E2"/>
    <w:rsid w:val="00F30AD2"/>
    <w:rsid w:val="00F34C41"/>
    <w:rsid w:val="00F4690F"/>
    <w:rsid w:val="00F470C6"/>
    <w:rsid w:val="00F66C2E"/>
    <w:rsid w:val="00F66D73"/>
    <w:rsid w:val="00F712F8"/>
    <w:rsid w:val="00F72635"/>
    <w:rsid w:val="00F9038B"/>
    <w:rsid w:val="00F90DC5"/>
    <w:rsid w:val="00F92885"/>
    <w:rsid w:val="00FA11B3"/>
    <w:rsid w:val="00FA30F0"/>
    <w:rsid w:val="00FA5BE8"/>
    <w:rsid w:val="00FC11D4"/>
    <w:rsid w:val="00FD7AE0"/>
    <w:rsid w:val="00FD7C78"/>
    <w:rsid w:val="00FE4238"/>
    <w:rsid w:val="00FE52A9"/>
    <w:rsid w:val="00FE7355"/>
    <w:rsid w:val="00FF38CF"/>
    <w:rsid w:val="41064793"/>
    <w:rsid w:val="4D971D5B"/>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0" w:semiHidden="0" w:name="heading 5"/>
    <w:lsdException w:qFormat="1"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semiHidden="0"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semiHidden="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qFormat="1" w:uiPriority="99" w:semiHidden="0" w:name="Body Text 3"/>
    <w:lsdException w:qFormat="1" w:unhideWhenUsed="0" w:uiPriority="0" w:semiHidden="0" w:name="Body Text Indent 2"/>
    <w:lsdException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qFormat="1" w:unhideWhenUsed="0" w:uiPriority="1" w:semiHidden="0" w:name="List Paragraph"/>
  </w:latentStyles>
  <w:style w:type="paragraph" w:default="1" w:styleId="1">
    <w:name w:val="Normal"/>
    <w:qFormat/>
    <w:uiPriority w:val="0"/>
    <w:rPr>
      <w:rFonts w:ascii="Times New Roman" w:hAnsi="Times New Roman" w:eastAsia="Times New Roman" w:cs="Times New Roman"/>
      <w:lang w:val="pt-BR" w:eastAsia="pt-BR" w:bidi="ar-SA"/>
    </w:rPr>
  </w:style>
  <w:style w:type="paragraph" w:styleId="2">
    <w:name w:val="heading 1"/>
    <w:basedOn w:val="1"/>
    <w:next w:val="1"/>
    <w:link w:val="44"/>
    <w:qFormat/>
    <w:uiPriority w:val="9"/>
    <w:pPr>
      <w:keepNext/>
      <w:keepLines/>
      <w:spacing w:before="480" w:after="120"/>
      <w:outlineLvl w:val="0"/>
    </w:pPr>
    <w:rPr>
      <w:b/>
      <w:sz w:val="48"/>
      <w:szCs w:val="48"/>
    </w:rPr>
  </w:style>
  <w:style w:type="paragraph" w:styleId="3">
    <w:name w:val="heading 2"/>
    <w:basedOn w:val="1"/>
    <w:next w:val="1"/>
    <w:link w:val="55"/>
    <w:unhideWhenUsed/>
    <w:qFormat/>
    <w:uiPriority w:val="9"/>
    <w:pPr>
      <w:keepNext/>
      <w:keepLines/>
      <w:spacing w:before="360" w:after="80"/>
      <w:outlineLvl w:val="1"/>
    </w:pPr>
    <w:rPr>
      <w:b/>
      <w:sz w:val="36"/>
      <w:szCs w:val="36"/>
    </w:rPr>
  </w:style>
  <w:style w:type="paragraph" w:styleId="4">
    <w:name w:val="heading 3"/>
    <w:basedOn w:val="1"/>
    <w:next w:val="1"/>
    <w:link w:val="117"/>
    <w:unhideWhenUsed/>
    <w:qFormat/>
    <w:uiPriority w:val="9"/>
    <w:pPr>
      <w:keepNext/>
      <w:keepLines/>
      <w:spacing w:before="280" w:after="80"/>
      <w:outlineLvl w:val="2"/>
    </w:pPr>
    <w:rPr>
      <w:b/>
      <w:sz w:val="28"/>
      <w:szCs w:val="28"/>
    </w:rPr>
  </w:style>
  <w:style w:type="paragraph" w:styleId="5">
    <w:name w:val="heading 4"/>
    <w:basedOn w:val="1"/>
    <w:next w:val="1"/>
    <w:link w:val="118"/>
    <w:unhideWhenUsed/>
    <w:qFormat/>
    <w:uiPriority w:val="9"/>
    <w:pPr>
      <w:keepNext/>
      <w:keepLines/>
      <w:spacing w:before="240" w:after="40"/>
      <w:outlineLvl w:val="3"/>
    </w:pPr>
    <w:rPr>
      <w:b/>
      <w:sz w:val="24"/>
      <w:szCs w:val="24"/>
    </w:rPr>
  </w:style>
  <w:style w:type="paragraph" w:styleId="6">
    <w:name w:val="heading 5"/>
    <w:basedOn w:val="1"/>
    <w:next w:val="1"/>
    <w:link w:val="119"/>
    <w:unhideWhenUsed/>
    <w:qFormat/>
    <w:uiPriority w:val="0"/>
    <w:pPr>
      <w:keepNext/>
      <w:keepLines/>
      <w:spacing w:before="220" w:after="40"/>
      <w:outlineLvl w:val="4"/>
    </w:pPr>
    <w:rPr>
      <w:b/>
      <w:sz w:val="22"/>
      <w:szCs w:val="22"/>
    </w:rPr>
  </w:style>
  <w:style w:type="paragraph" w:styleId="7">
    <w:name w:val="heading 6"/>
    <w:basedOn w:val="1"/>
    <w:next w:val="1"/>
    <w:link w:val="120"/>
    <w:unhideWhenUsed/>
    <w:qFormat/>
    <w:uiPriority w:val="0"/>
    <w:pPr>
      <w:keepNext/>
      <w:keepLines/>
      <w:spacing w:before="200" w:after="40"/>
      <w:outlineLvl w:val="5"/>
    </w:pPr>
    <w:rPr>
      <w:b/>
    </w:rPr>
  </w:style>
  <w:style w:type="character" w:default="1" w:styleId="8">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character" w:styleId="10">
    <w:name w:val="Strong"/>
    <w:qFormat/>
    <w:uiPriority w:val="22"/>
    <w:rPr>
      <w:b/>
      <w:bCs/>
    </w:rPr>
  </w:style>
  <w:style w:type="character" w:styleId="11">
    <w:name w:val="annotation reference"/>
    <w:basedOn w:val="8"/>
    <w:unhideWhenUsed/>
    <w:qFormat/>
    <w:uiPriority w:val="0"/>
    <w:rPr>
      <w:sz w:val="16"/>
      <w:szCs w:val="16"/>
    </w:rPr>
  </w:style>
  <w:style w:type="character" w:styleId="12">
    <w:name w:val="Emphasis"/>
    <w:qFormat/>
    <w:uiPriority w:val="20"/>
    <w:rPr>
      <w:i/>
      <w:iCs/>
    </w:rPr>
  </w:style>
  <w:style w:type="character" w:styleId="13">
    <w:name w:val="footnote reference"/>
    <w:basedOn w:val="8"/>
    <w:unhideWhenUsed/>
    <w:uiPriority w:val="99"/>
    <w:rPr>
      <w:vertAlign w:val="superscript"/>
    </w:rPr>
  </w:style>
  <w:style w:type="character" w:styleId="14">
    <w:name w:val="Hyperlink"/>
    <w:basedOn w:val="8"/>
    <w:unhideWhenUsed/>
    <w:qFormat/>
    <w:uiPriority w:val="99"/>
    <w:rPr>
      <w:color w:val="0000FF"/>
      <w:u w:val="single"/>
    </w:rPr>
  </w:style>
  <w:style w:type="paragraph" w:styleId="15">
    <w:name w:val="Body Text"/>
    <w:basedOn w:val="1"/>
    <w:link w:val="49"/>
    <w:qFormat/>
    <w:uiPriority w:val="1"/>
    <w:pPr>
      <w:widowControl w:val="0"/>
      <w:suppressAutoHyphens/>
    </w:pPr>
    <w:rPr>
      <w:rFonts w:ascii="Arial" w:hAnsi="Arial" w:eastAsia="Arial" w:cs="Arial"/>
      <w:sz w:val="24"/>
      <w:szCs w:val="24"/>
      <w:lang w:val="pt-PT" w:eastAsia="en-US"/>
    </w:rPr>
  </w:style>
  <w:style w:type="paragraph" w:styleId="16">
    <w:name w:val="annotation text"/>
    <w:basedOn w:val="1"/>
    <w:link w:val="45"/>
    <w:unhideWhenUsed/>
    <w:qFormat/>
    <w:uiPriority w:val="0"/>
    <w:pPr>
      <w:suppressAutoHyphens/>
    </w:pPr>
    <w:rPr>
      <w:rFonts w:ascii="Calibri" w:hAnsi="Calibri" w:eastAsia="Calibri"/>
      <w:lang w:val="en-US" w:eastAsia="zh-CN"/>
    </w:rPr>
  </w:style>
  <w:style w:type="paragraph" w:styleId="17">
    <w:name w:val="Body Text Indent 2"/>
    <w:basedOn w:val="1"/>
    <w:link w:val="64"/>
    <w:qFormat/>
    <w:uiPriority w:val="0"/>
    <w:pPr>
      <w:spacing w:after="120" w:line="480" w:lineRule="auto"/>
      <w:ind w:left="283"/>
    </w:pPr>
    <w:rPr>
      <w:sz w:val="24"/>
      <w:szCs w:val="24"/>
    </w:rPr>
  </w:style>
  <w:style w:type="paragraph" w:styleId="18">
    <w:name w:val="Title"/>
    <w:basedOn w:val="1"/>
    <w:next w:val="1"/>
    <w:link w:val="57"/>
    <w:qFormat/>
    <w:uiPriority w:val="0"/>
    <w:pPr>
      <w:keepNext/>
      <w:keepLines/>
      <w:spacing w:before="480" w:after="120"/>
    </w:pPr>
    <w:rPr>
      <w:b/>
      <w:sz w:val="72"/>
      <w:szCs w:val="72"/>
    </w:rPr>
  </w:style>
  <w:style w:type="paragraph" w:styleId="19">
    <w:name w:val="Normal (Web)"/>
    <w:basedOn w:val="1"/>
    <w:unhideWhenUsed/>
    <w:uiPriority w:val="99"/>
    <w:pPr>
      <w:spacing w:before="100" w:beforeAutospacing="1" w:after="100" w:afterAutospacing="1"/>
    </w:pPr>
    <w:rPr>
      <w:sz w:val="24"/>
      <w:szCs w:val="24"/>
    </w:rPr>
  </w:style>
  <w:style w:type="paragraph" w:styleId="20">
    <w:name w:val="Body Text 3"/>
    <w:basedOn w:val="1"/>
    <w:link w:val="58"/>
    <w:unhideWhenUsed/>
    <w:qFormat/>
    <w:uiPriority w:val="99"/>
    <w:pPr>
      <w:spacing w:after="120" w:line="259" w:lineRule="auto"/>
    </w:pPr>
    <w:rPr>
      <w:rFonts w:asciiTheme="minorHAnsi" w:hAnsiTheme="minorHAnsi" w:eastAsiaTheme="minorHAnsi" w:cstheme="minorBidi"/>
      <w:sz w:val="16"/>
      <w:szCs w:val="16"/>
      <w:lang w:eastAsia="en-US"/>
    </w:rPr>
  </w:style>
  <w:style w:type="paragraph" w:styleId="21">
    <w:name w:val="header"/>
    <w:basedOn w:val="1"/>
    <w:link w:val="32"/>
    <w:qFormat/>
    <w:uiPriority w:val="99"/>
    <w:pPr>
      <w:tabs>
        <w:tab w:val="center" w:pos="4419"/>
        <w:tab w:val="right" w:pos="8838"/>
      </w:tabs>
    </w:pPr>
  </w:style>
  <w:style w:type="paragraph" w:styleId="22">
    <w:name w:val="annotation subject"/>
    <w:basedOn w:val="16"/>
    <w:next w:val="16"/>
    <w:link w:val="47"/>
    <w:unhideWhenUsed/>
    <w:uiPriority w:val="0"/>
    <w:pPr>
      <w:suppressAutoHyphens w:val="0"/>
      <w:spacing w:after="160"/>
    </w:pPr>
    <w:rPr>
      <w:rFonts w:asciiTheme="minorHAnsi" w:hAnsiTheme="minorHAnsi" w:eastAsiaTheme="minorHAnsi" w:cstheme="minorBidi"/>
      <w:b/>
      <w:bCs/>
      <w:lang w:val="pt-BR" w:eastAsia="en-US"/>
    </w:rPr>
  </w:style>
  <w:style w:type="paragraph" w:styleId="23">
    <w:name w:val="footer"/>
    <w:basedOn w:val="1"/>
    <w:link w:val="33"/>
    <w:unhideWhenUsed/>
    <w:qFormat/>
    <w:uiPriority w:val="99"/>
    <w:pPr>
      <w:tabs>
        <w:tab w:val="center" w:pos="4252"/>
        <w:tab w:val="right" w:pos="8504"/>
      </w:tabs>
    </w:pPr>
  </w:style>
  <w:style w:type="paragraph" w:styleId="24">
    <w:name w:val="Body Text Indent 3"/>
    <w:basedOn w:val="1"/>
    <w:link w:val="63"/>
    <w:uiPriority w:val="0"/>
    <w:pPr>
      <w:spacing w:line="360" w:lineRule="auto"/>
      <w:ind w:firstLine="2552"/>
      <w:jc w:val="both"/>
    </w:pPr>
    <w:rPr>
      <w:rFonts w:ascii="Arial" w:hAnsi="Arial"/>
      <w:sz w:val="24"/>
    </w:rPr>
  </w:style>
  <w:style w:type="paragraph" w:styleId="25">
    <w:name w:val="Balloon Text"/>
    <w:basedOn w:val="1"/>
    <w:link w:val="48"/>
    <w:unhideWhenUsed/>
    <w:uiPriority w:val="99"/>
    <w:rPr>
      <w:rFonts w:ascii="Segoe UI" w:hAnsi="Segoe UI" w:cs="Segoe UI" w:eastAsiaTheme="minorHAnsi"/>
      <w:sz w:val="18"/>
      <w:szCs w:val="18"/>
      <w:lang w:eastAsia="en-US"/>
    </w:rPr>
  </w:style>
  <w:style w:type="paragraph" w:styleId="26">
    <w:name w:val="Subtitle"/>
    <w:basedOn w:val="1"/>
    <w:next w:val="1"/>
    <w:link w:val="121"/>
    <w:qFormat/>
    <w:uiPriority w:val="0"/>
    <w:pPr>
      <w:keepNext/>
      <w:keepLines/>
      <w:spacing w:before="360" w:after="80"/>
    </w:pPr>
    <w:rPr>
      <w:rFonts w:ascii="Georgia" w:hAnsi="Georgia" w:eastAsia="Georgia" w:cs="Georgia"/>
      <w:i/>
      <w:color w:val="666666"/>
      <w:sz w:val="48"/>
      <w:szCs w:val="48"/>
    </w:rPr>
  </w:style>
  <w:style w:type="paragraph" w:styleId="27">
    <w:name w:val="footnote text"/>
    <w:basedOn w:val="1"/>
    <w:link w:val="50"/>
    <w:unhideWhenUsed/>
    <w:uiPriority w:val="99"/>
    <w:rPr>
      <w:rFonts w:asciiTheme="minorHAnsi" w:hAnsiTheme="minorHAnsi" w:eastAsiaTheme="minorHAnsi" w:cstheme="minorBidi"/>
      <w:lang w:eastAsia="en-US"/>
    </w:rPr>
  </w:style>
  <w:style w:type="paragraph" w:styleId="28">
    <w:name w:val="List Bullet"/>
    <w:basedOn w:val="1"/>
    <w:unhideWhenUsed/>
    <w:uiPriority w:val="99"/>
    <w:pPr>
      <w:numPr>
        <w:ilvl w:val="0"/>
        <w:numId w:val="1"/>
      </w:numPr>
      <w:spacing w:after="160" w:line="259" w:lineRule="auto"/>
      <w:contextualSpacing/>
    </w:pPr>
    <w:rPr>
      <w:rFonts w:asciiTheme="minorHAnsi" w:hAnsiTheme="minorHAnsi" w:eastAsiaTheme="minorHAnsi" w:cstheme="minorBidi"/>
      <w:sz w:val="22"/>
      <w:szCs w:val="22"/>
      <w:lang w:eastAsia="en-US"/>
    </w:rPr>
  </w:style>
  <w:style w:type="paragraph" w:styleId="29">
    <w:name w:val="Body Text Indent"/>
    <w:basedOn w:val="1"/>
    <w:link w:val="61"/>
    <w:unhideWhenUsed/>
    <w:qFormat/>
    <w:uiPriority w:val="0"/>
    <w:pPr>
      <w:widowControl w:val="0"/>
      <w:autoSpaceDE w:val="0"/>
      <w:autoSpaceDN w:val="0"/>
      <w:spacing w:after="120"/>
      <w:ind w:left="283"/>
    </w:pPr>
    <w:rPr>
      <w:rFonts w:ascii="Century Gothic" w:hAnsi="Century Gothic" w:eastAsia="Century Gothic" w:cs="Century Gothic"/>
      <w:sz w:val="22"/>
      <w:szCs w:val="22"/>
      <w:lang w:val="pt-PT" w:eastAsia="en-US"/>
    </w:rPr>
  </w:style>
  <w:style w:type="table" w:styleId="30">
    <w:name w:val="Table Grid"/>
    <w:basedOn w:val="9"/>
    <w:uiPriority w:val="59"/>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
    <w:name w:val="Table Normal"/>
    <w:qFormat/>
    <w:uiPriority w:val="2"/>
    <w:tblPr>
      <w:tblCellMar>
        <w:top w:w="0" w:type="dxa"/>
        <w:left w:w="0" w:type="dxa"/>
        <w:bottom w:w="0" w:type="dxa"/>
        <w:right w:w="0" w:type="dxa"/>
      </w:tblCellMar>
    </w:tblPr>
  </w:style>
  <w:style w:type="character" w:customStyle="1" w:styleId="32">
    <w:name w:val="Cabeçalho Char"/>
    <w:basedOn w:val="8"/>
    <w:link w:val="21"/>
    <w:qFormat/>
    <w:uiPriority w:val="99"/>
    <w:rPr>
      <w:rFonts w:ascii="Times New Roman" w:hAnsi="Times New Roman" w:eastAsia="Times New Roman" w:cs="Times New Roman"/>
      <w:sz w:val="20"/>
      <w:szCs w:val="20"/>
      <w:lang w:eastAsia="pt-BR"/>
    </w:rPr>
  </w:style>
  <w:style w:type="character" w:customStyle="1" w:styleId="33">
    <w:name w:val="Rodapé Char"/>
    <w:basedOn w:val="8"/>
    <w:link w:val="23"/>
    <w:qFormat/>
    <w:uiPriority w:val="99"/>
    <w:rPr>
      <w:rFonts w:ascii="Times New Roman" w:hAnsi="Times New Roman" w:eastAsia="Times New Roman" w:cs="Times New Roman"/>
      <w:sz w:val="20"/>
      <w:szCs w:val="20"/>
      <w:lang w:eastAsia="pt-BR"/>
    </w:rPr>
  </w:style>
  <w:style w:type="paragraph" w:styleId="34">
    <w:name w:val="List Paragraph"/>
    <w:basedOn w:val="1"/>
    <w:link w:val="105"/>
    <w:qFormat/>
    <w:uiPriority w:val="1"/>
    <w:pPr>
      <w:ind w:left="720"/>
      <w:contextualSpacing/>
    </w:pPr>
  </w:style>
  <w:style w:type="table" w:customStyle="1" w:styleId="35">
    <w:name w:val="_Style 17"/>
    <w:basedOn w:val="31"/>
    <w:qFormat/>
    <w:uiPriority w:val="0"/>
    <w:tblPr>
      <w:tblCellMar>
        <w:left w:w="115" w:type="dxa"/>
        <w:right w:w="115" w:type="dxa"/>
      </w:tblCellMar>
    </w:tblPr>
  </w:style>
  <w:style w:type="table" w:customStyle="1" w:styleId="36">
    <w:name w:val="_Style 18"/>
    <w:basedOn w:val="31"/>
    <w:qFormat/>
    <w:uiPriority w:val="0"/>
    <w:tblPr>
      <w:tblCellMar>
        <w:left w:w="115" w:type="dxa"/>
        <w:right w:w="115" w:type="dxa"/>
      </w:tblCellMar>
    </w:tblPr>
  </w:style>
  <w:style w:type="table" w:customStyle="1" w:styleId="37">
    <w:name w:val="_Style 19"/>
    <w:basedOn w:val="31"/>
    <w:uiPriority w:val="0"/>
    <w:tblPr>
      <w:tblCellMar>
        <w:left w:w="115" w:type="dxa"/>
        <w:right w:w="115" w:type="dxa"/>
      </w:tblCellMar>
    </w:tblPr>
  </w:style>
  <w:style w:type="table" w:customStyle="1" w:styleId="38">
    <w:name w:val="_Style 20"/>
    <w:basedOn w:val="31"/>
    <w:qFormat/>
    <w:uiPriority w:val="0"/>
    <w:tblPr>
      <w:tblCellMar>
        <w:left w:w="115" w:type="dxa"/>
        <w:right w:w="115" w:type="dxa"/>
      </w:tblCellMar>
    </w:tblPr>
  </w:style>
  <w:style w:type="table" w:customStyle="1" w:styleId="39">
    <w:name w:val="_Style 21"/>
    <w:basedOn w:val="31"/>
    <w:qFormat/>
    <w:uiPriority w:val="0"/>
    <w:tblPr>
      <w:tblCellMar>
        <w:left w:w="115" w:type="dxa"/>
        <w:right w:w="115" w:type="dxa"/>
      </w:tblCellMar>
    </w:tblPr>
  </w:style>
  <w:style w:type="table" w:customStyle="1" w:styleId="40">
    <w:name w:val="_Style 22"/>
    <w:basedOn w:val="31"/>
    <w:qFormat/>
    <w:uiPriority w:val="0"/>
    <w:tblPr>
      <w:tblCellMar>
        <w:left w:w="115" w:type="dxa"/>
        <w:right w:w="115" w:type="dxa"/>
      </w:tblCellMar>
    </w:tblPr>
  </w:style>
  <w:style w:type="table" w:customStyle="1" w:styleId="41">
    <w:name w:val="_Style 23"/>
    <w:basedOn w:val="31"/>
    <w:qFormat/>
    <w:uiPriority w:val="0"/>
    <w:tblPr>
      <w:tblCellMar>
        <w:left w:w="70" w:type="dxa"/>
        <w:right w:w="70" w:type="dxa"/>
      </w:tblCellMar>
    </w:tblPr>
  </w:style>
  <w:style w:type="paragraph" w:customStyle="1" w:styleId="42">
    <w:name w:val="TEXTO"/>
    <w:basedOn w:val="1"/>
    <w:autoRedefine/>
    <w:qFormat/>
    <w:uiPriority w:val="0"/>
    <w:pPr>
      <w:suppressAutoHyphens/>
      <w:spacing w:line="360" w:lineRule="auto"/>
      <w:ind w:left="142" w:right="537"/>
      <w:jc w:val="both"/>
    </w:pPr>
    <w:rPr>
      <w:rFonts w:eastAsia="ArialMT" w:asciiTheme="minorHAnsi" w:hAnsiTheme="minorHAnsi" w:cstheme="minorHAnsi"/>
      <w:sz w:val="24"/>
      <w:szCs w:val="24"/>
    </w:rPr>
  </w:style>
  <w:style w:type="paragraph" w:customStyle="1" w:styleId="43">
    <w:name w:val="WW-Texto sem formatação"/>
    <w:basedOn w:val="1"/>
    <w:qFormat/>
    <w:uiPriority w:val="0"/>
    <w:pPr>
      <w:suppressAutoHyphens/>
    </w:pPr>
    <w:rPr>
      <w:rFonts w:ascii="Courier New" w:hAnsi="Courier New" w:cs="Courier New"/>
      <w:lang w:eastAsia="ar-SA"/>
    </w:rPr>
  </w:style>
  <w:style w:type="character" w:customStyle="1" w:styleId="44">
    <w:name w:val="Título 1 Char"/>
    <w:basedOn w:val="8"/>
    <w:link w:val="2"/>
    <w:qFormat/>
    <w:uiPriority w:val="9"/>
    <w:rPr>
      <w:b/>
      <w:sz w:val="48"/>
      <w:szCs w:val="48"/>
    </w:rPr>
  </w:style>
  <w:style w:type="character" w:customStyle="1" w:styleId="45">
    <w:name w:val="Texto de comentário Char"/>
    <w:basedOn w:val="8"/>
    <w:link w:val="16"/>
    <w:qFormat/>
    <w:uiPriority w:val="0"/>
    <w:rPr>
      <w:rFonts w:ascii="Calibri" w:hAnsi="Calibri" w:eastAsia="Calibri"/>
      <w:lang w:val="en-US" w:eastAsia="zh-CN"/>
    </w:rPr>
  </w:style>
  <w:style w:type="character" w:customStyle="1" w:styleId="46">
    <w:name w:val="Texto de comentário Char1"/>
    <w:basedOn w:val="8"/>
    <w:semiHidden/>
    <w:qFormat/>
    <w:uiPriority w:val="99"/>
  </w:style>
  <w:style w:type="character" w:customStyle="1" w:styleId="47">
    <w:name w:val="Assunto do comentário Char"/>
    <w:basedOn w:val="46"/>
    <w:link w:val="22"/>
    <w:uiPriority w:val="0"/>
    <w:rPr>
      <w:rFonts w:asciiTheme="minorHAnsi" w:hAnsiTheme="minorHAnsi" w:eastAsiaTheme="minorHAnsi" w:cstheme="minorBidi"/>
      <w:b/>
      <w:bCs/>
      <w:lang w:eastAsia="en-US"/>
    </w:rPr>
  </w:style>
  <w:style w:type="character" w:customStyle="1" w:styleId="48">
    <w:name w:val="Texto de balão Char"/>
    <w:basedOn w:val="8"/>
    <w:link w:val="25"/>
    <w:uiPriority w:val="99"/>
    <w:rPr>
      <w:rFonts w:ascii="Segoe UI" w:hAnsi="Segoe UI" w:cs="Segoe UI" w:eastAsiaTheme="minorHAnsi"/>
      <w:sz w:val="18"/>
      <w:szCs w:val="18"/>
      <w:lang w:eastAsia="en-US"/>
    </w:rPr>
  </w:style>
  <w:style w:type="character" w:customStyle="1" w:styleId="49">
    <w:name w:val="Corpo de texto Char"/>
    <w:basedOn w:val="8"/>
    <w:link w:val="15"/>
    <w:uiPriority w:val="1"/>
    <w:rPr>
      <w:rFonts w:ascii="Arial" w:hAnsi="Arial" w:eastAsia="Arial" w:cs="Arial"/>
      <w:sz w:val="24"/>
      <w:szCs w:val="24"/>
      <w:lang w:val="pt-PT" w:eastAsia="en-US"/>
    </w:rPr>
  </w:style>
  <w:style w:type="character" w:customStyle="1" w:styleId="50">
    <w:name w:val="Texto de nota de rodapé Char"/>
    <w:basedOn w:val="8"/>
    <w:link w:val="27"/>
    <w:qFormat/>
    <w:uiPriority w:val="99"/>
    <w:rPr>
      <w:rFonts w:asciiTheme="minorHAnsi" w:hAnsiTheme="minorHAnsi" w:eastAsiaTheme="minorHAnsi" w:cstheme="minorBidi"/>
      <w:lang w:eastAsia="en-US"/>
    </w:rPr>
  </w:style>
  <w:style w:type="character" w:customStyle="1" w:styleId="51">
    <w:name w:val="Footnote Characters"/>
    <w:basedOn w:val="8"/>
    <w:semiHidden/>
    <w:unhideWhenUsed/>
    <w:qFormat/>
    <w:uiPriority w:val="99"/>
    <w:rPr>
      <w:vertAlign w:val="superscript"/>
    </w:rPr>
  </w:style>
  <w:style w:type="paragraph" w:customStyle="1" w:styleId="52">
    <w:name w:val="Table Paragraph"/>
    <w:basedOn w:val="1"/>
    <w:qFormat/>
    <w:uiPriority w:val="1"/>
    <w:pPr>
      <w:widowControl w:val="0"/>
      <w:suppressAutoHyphens/>
      <w:spacing w:before="115"/>
      <w:ind w:left="107"/>
    </w:pPr>
    <w:rPr>
      <w:rFonts w:ascii="Arial" w:hAnsi="Arial" w:eastAsia="Arial" w:cs="Arial"/>
      <w:sz w:val="22"/>
      <w:szCs w:val="22"/>
      <w:lang w:val="pt-PT" w:eastAsia="en-US"/>
    </w:rPr>
  </w:style>
  <w:style w:type="paragraph" w:customStyle="1" w:styleId="53">
    <w:name w:val="Default"/>
    <w:link w:val="103"/>
    <w:uiPriority w:val="0"/>
    <w:pPr>
      <w:autoSpaceDE w:val="0"/>
      <w:autoSpaceDN w:val="0"/>
      <w:adjustRightInd w:val="0"/>
    </w:pPr>
    <w:rPr>
      <w:rFonts w:ascii="Minion Pro" w:hAnsi="Minion Pro" w:cs="Minion Pro" w:eastAsiaTheme="minorHAnsi"/>
      <w:color w:val="000000"/>
      <w:sz w:val="24"/>
      <w:szCs w:val="24"/>
      <w:lang w:val="pt-BR" w:eastAsia="en-US" w:bidi="ar-SA"/>
    </w:rPr>
  </w:style>
  <w:style w:type="character" w:customStyle="1" w:styleId="54">
    <w:name w:val="Menção Pendente1"/>
    <w:basedOn w:val="8"/>
    <w:semiHidden/>
    <w:unhideWhenUsed/>
    <w:qFormat/>
    <w:uiPriority w:val="99"/>
    <w:rPr>
      <w:color w:val="605E5C"/>
      <w:shd w:val="clear" w:color="auto" w:fill="E1DFDD"/>
    </w:rPr>
  </w:style>
  <w:style w:type="character" w:customStyle="1" w:styleId="55">
    <w:name w:val="Título 2 Char"/>
    <w:basedOn w:val="8"/>
    <w:link w:val="3"/>
    <w:qFormat/>
    <w:uiPriority w:val="9"/>
    <w:rPr>
      <w:b/>
      <w:sz w:val="36"/>
      <w:szCs w:val="36"/>
    </w:rPr>
  </w:style>
  <w:style w:type="paragraph" w:customStyle="1" w:styleId="56">
    <w:name w:val="Normal1"/>
    <w:qFormat/>
    <w:uiPriority w:val="0"/>
    <w:pPr>
      <w:spacing w:line="276" w:lineRule="auto"/>
    </w:pPr>
    <w:rPr>
      <w:rFonts w:ascii="Arial" w:hAnsi="Arial" w:eastAsia="Arial" w:cs="Arial"/>
      <w:sz w:val="22"/>
      <w:szCs w:val="22"/>
      <w:lang w:val="pt-BR" w:eastAsia="pt-BR" w:bidi="ar-SA"/>
    </w:rPr>
  </w:style>
  <w:style w:type="character" w:customStyle="1" w:styleId="57">
    <w:name w:val="Título Char"/>
    <w:basedOn w:val="8"/>
    <w:link w:val="18"/>
    <w:qFormat/>
    <w:uiPriority w:val="10"/>
    <w:rPr>
      <w:b/>
      <w:sz w:val="72"/>
      <w:szCs w:val="72"/>
    </w:rPr>
  </w:style>
  <w:style w:type="character" w:customStyle="1" w:styleId="58">
    <w:name w:val="Corpo de texto 3 Char"/>
    <w:basedOn w:val="8"/>
    <w:link w:val="20"/>
    <w:uiPriority w:val="99"/>
    <w:rPr>
      <w:rFonts w:asciiTheme="minorHAnsi" w:hAnsiTheme="minorHAnsi" w:eastAsiaTheme="minorHAnsi" w:cstheme="minorBidi"/>
      <w:sz w:val="16"/>
      <w:szCs w:val="16"/>
      <w:lang w:eastAsia="en-US"/>
    </w:rPr>
  </w:style>
  <w:style w:type="table" w:customStyle="1" w:styleId="59">
    <w:name w:val="Tabela com grade1"/>
    <w:basedOn w:val="9"/>
    <w:qFormat/>
    <w:uiPriority w:val="59"/>
    <w:rPr>
      <w:rFonts w:asciiTheme="minorHAnsi" w:hAnsiTheme="minorHAnsi" w:eastAsiaTheme="minorHAnsi" w:cstheme="minorBidi"/>
      <w:sz w:val="22"/>
      <w:szCs w:val="22"/>
      <w:lang w:eastAsia="en-US"/>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customStyle="1" w:styleId="60">
    <w:name w:val="Tabela com grade2"/>
    <w:basedOn w:val="9"/>
    <w:qFormat/>
    <w:uiPriority w:val="59"/>
    <w:rPr>
      <w:rFonts w:asciiTheme="minorHAnsi" w:hAnsiTheme="minorHAnsi" w:eastAsiaTheme="minorHAnsi" w:cstheme="minorBidi"/>
      <w:sz w:val="22"/>
      <w:szCs w:val="22"/>
      <w:lang w:eastAsia="en-US"/>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customStyle="1" w:styleId="61">
    <w:name w:val="Recuo de corpo de texto Char"/>
    <w:basedOn w:val="8"/>
    <w:link w:val="29"/>
    <w:uiPriority w:val="0"/>
    <w:rPr>
      <w:rFonts w:ascii="Century Gothic" w:hAnsi="Century Gothic" w:eastAsia="Century Gothic" w:cs="Century Gothic"/>
      <w:sz w:val="22"/>
      <w:szCs w:val="22"/>
      <w:lang w:val="pt-PT" w:eastAsia="en-US"/>
    </w:rPr>
  </w:style>
  <w:style w:type="paragraph" w:customStyle="1" w:styleId="62">
    <w:name w:val="t1"/>
    <w:basedOn w:val="1"/>
    <w:uiPriority w:val="0"/>
    <w:pPr>
      <w:widowControl w:val="0"/>
      <w:autoSpaceDE w:val="0"/>
      <w:autoSpaceDN w:val="0"/>
      <w:adjustRightInd w:val="0"/>
      <w:spacing w:line="240" w:lineRule="atLeast"/>
    </w:pPr>
    <w:rPr>
      <w:sz w:val="24"/>
      <w:szCs w:val="24"/>
      <w:lang w:val="en-US"/>
    </w:rPr>
  </w:style>
  <w:style w:type="character" w:customStyle="1" w:styleId="63">
    <w:name w:val="Recuo de corpo de texto 3 Char"/>
    <w:basedOn w:val="8"/>
    <w:link w:val="24"/>
    <w:uiPriority w:val="0"/>
    <w:rPr>
      <w:rFonts w:ascii="Arial" w:hAnsi="Arial"/>
      <w:sz w:val="24"/>
    </w:rPr>
  </w:style>
  <w:style w:type="character" w:customStyle="1" w:styleId="64">
    <w:name w:val="Recuo de corpo de texto 2 Char"/>
    <w:basedOn w:val="8"/>
    <w:link w:val="17"/>
    <w:qFormat/>
    <w:uiPriority w:val="0"/>
    <w:rPr>
      <w:sz w:val="24"/>
      <w:szCs w:val="24"/>
    </w:rPr>
  </w:style>
  <w:style w:type="character" w:customStyle="1" w:styleId="65">
    <w:name w:val="apple-converted-space"/>
    <w:qFormat/>
    <w:uiPriority w:val="0"/>
  </w:style>
  <w:style w:type="paragraph" w:customStyle="1" w:styleId="66">
    <w:name w:val="TCU - Epígrafe"/>
    <w:basedOn w:val="1"/>
    <w:qFormat/>
    <w:uiPriority w:val="0"/>
    <w:pPr>
      <w:ind w:left="2835"/>
      <w:jc w:val="both"/>
    </w:pPr>
    <w:rPr>
      <w:sz w:val="24"/>
    </w:rPr>
  </w:style>
  <w:style w:type="paragraph" w:customStyle="1" w:styleId="67">
    <w:name w:val="TCU - Sem Recuo"/>
    <w:basedOn w:val="1"/>
    <w:qFormat/>
    <w:uiPriority w:val="0"/>
    <w:pPr>
      <w:tabs>
        <w:tab w:val="left" w:pos="1134"/>
      </w:tabs>
      <w:spacing w:after="160"/>
      <w:jc w:val="both"/>
    </w:pPr>
    <w:rPr>
      <w:sz w:val="24"/>
    </w:rPr>
  </w:style>
  <w:style w:type="paragraph" w:customStyle="1" w:styleId="68">
    <w:name w:val="TCU - Rel/Voto - demais §§"/>
    <w:basedOn w:val="1"/>
    <w:qFormat/>
    <w:uiPriority w:val="0"/>
    <w:pPr>
      <w:tabs>
        <w:tab w:val="left" w:pos="1134"/>
      </w:tabs>
      <w:spacing w:after="160"/>
      <w:jc w:val="both"/>
    </w:pPr>
    <w:rPr>
      <w:sz w:val="24"/>
      <w:szCs w:val="22"/>
      <w:lang w:eastAsia="en-US"/>
    </w:rPr>
  </w:style>
  <w:style w:type="paragraph" w:customStyle="1" w:styleId="69">
    <w:name w:val="corpo de texto"/>
    <w:basedOn w:val="24"/>
    <w:qFormat/>
    <w:uiPriority w:val="0"/>
    <w:pPr>
      <w:spacing w:line="240" w:lineRule="auto"/>
      <w:ind w:firstLine="1134"/>
    </w:pPr>
    <w:rPr>
      <w:rFonts w:ascii="Times New Roman" w:hAnsi="Times New Roman"/>
    </w:rPr>
  </w:style>
  <w:style w:type="character" w:customStyle="1" w:styleId="70">
    <w:name w:val="titulo"/>
    <w:qFormat/>
    <w:uiPriority w:val="0"/>
  </w:style>
  <w:style w:type="character" w:customStyle="1" w:styleId="71">
    <w:name w:val="corpojustificado"/>
    <w:qFormat/>
    <w:uiPriority w:val="0"/>
  </w:style>
  <w:style w:type="paragraph" w:customStyle="1" w:styleId="72">
    <w:name w:val="04partenormativa"/>
    <w:basedOn w:val="1"/>
    <w:qFormat/>
    <w:uiPriority w:val="0"/>
    <w:pPr>
      <w:spacing w:before="100" w:beforeAutospacing="1" w:after="100" w:afterAutospacing="1"/>
    </w:pPr>
    <w:rPr>
      <w:sz w:val="24"/>
      <w:szCs w:val="24"/>
    </w:rPr>
  </w:style>
  <w:style w:type="paragraph" w:customStyle="1" w:styleId="73">
    <w:name w:val="Style 2"/>
    <w:basedOn w:val="1"/>
    <w:qFormat/>
    <w:uiPriority w:val="99"/>
    <w:pPr>
      <w:widowControl w:val="0"/>
      <w:autoSpaceDE w:val="0"/>
      <w:autoSpaceDN w:val="0"/>
      <w:ind w:firstLine="288"/>
      <w:jc w:val="both"/>
    </w:pPr>
    <w:rPr>
      <w:sz w:val="19"/>
      <w:szCs w:val="19"/>
    </w:rPr>
  </w:style>
  <w:style w:type="character" w:customStyle="1" w:styleId="74">
    <w:name w:val="Character Style 1"/>
    <w:uiPriority w:val="99"/>
    <w:rPr>
      <w:sz w:val="19"/>
      <w:szCs w:val="19"/>
    </w:rPr>
  </w:style>
  <w:style w:type="paragraph" w:customStyle="1" w:styleId="75">
    <w:name w:val="Style 3"/>
    <w:basedOn w:val="1"/>
    <w:uiPriority w:val="99"/>
    <w:pPr>
      <w:widowControl w:val="0"/>
      <w:autoSpaceDE w:val="0"/>
      <w:autoSpaceDN w:val="0"/>
      <w:spacing w:before="324" w:line="360" w:lineRule="auto"/>
      <w:ind w:right="144"/>
      <w:jc w:val="both"/>
    </w:pPr>
    <w:rPr>
      <w:rFonts w:ascii="Arial" w:hAnsi="Arial" w:cs="Arial"/>
      <w:sz w:val="23"/>
      <w:szCs w:val="23"/>
    </w:rPr>
  </w:style>
  <w:style w:type="character" w:customStyle="1" w:styleId="76">
    <w:name w:val="Character Style 2"/>
    <w:qFormat/>
    <w:uiPriority w:val="99"/>
    <w:rPr>
      <w:sz w:val="20"/>
      <w:szCs w:val="20"/>
    </w:rPr>
  </w:style>
  <w:style w:type="paragraph" w:customStyle="1" w:styleId="77">
    <w:name w:val="textbody"/>
    <w:basedOn w:val="1"/>
    <w:uiPriority w:val="0"/>
    <w:pPr>
      <w:spacing w:before="100" w:beforeAutospacing="1" w:after="100" w:afterAutospacing="1"/>
    </w:pPr>
    <w:rPr>
      <w:sz w:val="24"/>
      <w:szCs w:val="24"/>
    </w:rPr>
  </w:style>
  <w:style w:type="paragraph" w:customStyle="1" w:styleId="78">
    <w:name w:val="tcu_-_transcrição"/>
    <w:basedOn w:val="1"/>
    <w:qFormat/>
    <w:uiPriority w:val="0"/>
    <w:pPr>
      <w:spacing w:before="100" w:beforeAutospacing="1" w:after="100" w:afterAutospacing="1"/>
    </w:pPr>
    <w:rPr>
      <w:sz w:val="24"/>
      <w:szCs w:val="24"/>
    </w:rPr>
  </w:style>
  <w:style w:type="paragraph" w:customStyle="1" w:styleId="79">
    <w:name w:val="tcu_-_rel/voto_-_demais_§§"/>
    <w:basedOn w:val="1"/>
    <w:qFormat/>
    <w:uiPriority w:val="0"/>
    <w:pPr>
      <w:spacing w:before="100" w:beforeAutospacing="1" w:after="100" w:afterAutospacing="1"/>
    </w:pPr>
    <w:rPr>
      <w:sz w:val="24"/>
      <w:szCs w:val="24"/>
    </w:rPr>
  </w:style>
  <w:style w:type="paragraph" w:customStyle="1" w:styleId="80">
    <w:name w:val="tcu_-_centralizado"/>
    <w:basedOn w:val="1"/>
    <w:uiPriority w:val="0"/>
    <w:pPr>
      <w:spacing w:before="100" w:beforeAutospacing="1" w:after="100" w:afterAutospacing="1"/>
    </w:pPr>
    <w:rPr>
      <w:sz w:val="24"/>
      <w:szCs w:val="24"/>
    </w:rPr>
  </w:style>
  <w:style w:type="paragraph" w:customStyle="1" w:styleId="81">
    <w:name w:val="texto_justificado_recuo_primeira_linha"/>
    <w:basedOn w:val="1"/>
    <w:uiPriority w:val="0"/>
    <w:pPr>
      <w:spacing w:before="100" w:beforeAutospacing="1" w:after="100" w:afterAutospacing="1"/>
    </w:pPr>
    <w:rPr>
      <w:sz w:val="24"/>
      <w:szCs w:val="24"/>
    </w:rPr>
  </w:style>
  <w:style w:type="paragraph" w:customStyle="1" w:styleId="82">
    <w:name w:val="citacao"/>
    <w:basedOn w:val="1"/>
    <w:qFormat/>
    <w:uiPriority w:val="0"/>
    <w:pPr>
      <w:spacing w:before="100" w:beforeAutospacing="1" w:after="100" w:afterAutospacing="1"/>
    </w:pPr>
    <w:rPr>
      <w:sz w:val="24"/>
      <w:szCs w:val="24"/>
    </w:rPr>
  </w:style>
  <w:style w:type="paragraph" w:customStyle="1" w:styleId="83">
    <w:name w:val="Nivel 2"/>
    <w:basedOn w:val="1"/>
    <w:link w:val="84"/>
    <w:qFormat/>
    <w:uiPriority w:val="0"/>
    <w:pPr>
      <w:spacing w:before="120" w:after="120" w:line="276" w:lineRule="auto"/>
      <w:ind w:left="4969" w:hanging="432"/>
      <w:jc w:val="both"/>
    </w:pPr>
    <w:rPr>
      <w:rFonts w:ascii="Arial" w:hAnsi="Arial" w:cs="Arial"/>
      <w:color w:val="000000"/>
    </w:rPr>
  </w:style>
  <w:style w:type="character" w:customStyle="1" w:styleId="84">
    <w:name w:val="Nivel 2 Char"/>
    <w:link w:val="83"/>
    <w:qFormat/>
    <w:locked/>
    <w:uiPriority w:val="0"/>
    <w:rPr>
      <w:rFonts w:ascii="Arial" w:hAnsi="Arial" w:cs="Arial"/>
      <w:color w:val="000000"/>
    </w:rPr>
  </w:style>
  <w:style w:type="paragraph" w:customStyle="1" w:styleId="85">
    <w:name w:val="Nivel 01"/>
    <w:basedOn w:val="2"/>
    <w:next w:val="1"/>
    <w:link w:val="88"/>
    <w:qFormat/>
    <w:uiPriority w:val="0"/>
    <w:pPr>
      <w:tabs>
        <w:tab w:val="left" w:pos="567"/>
      </w:tabs>
      <w:spacing w:before="240" w:after="0"/>
      <w:ind w:left="360" w:hanging="360"/>
      <w:jc w:val="both"/>
    </w:pPr>
    <w:rPr>
      <w:rFonts w:ascii="Arial" w:hAnsi="Arial" w:cs="Arial"/>
      <w:bCs/>
      <w:sz w:val="20"/>
      <w:szCs w:val="20"/>
    </w:rPr>
  </w:style>
  <w:style w:type="paragraph" w:customStyle="1" w:styleId="86">
    <w:name w:val="Nivel 3"/>
    <w:basedOn w:val="1"/>
    <w:link w:val="87"/>
    <w:qFormat/>
    <w:uiPriority w:val="0"/>
    <w:pPr>
      <w:spacing w:before="120" w:after="120" w:line="276" w:lineRule="auto"/>
      <w:ind w:left="3198" w:hanging="504"/>
      <w:jc w:val="both"/>
    </w:pPr>
    <w:rPr>
      <w:rFonts w:ascii="Arial" w:hAnsi="Arial" w:cs="Arial"/>
      <w:color w:val="000000"/>
    </w:rPr>
  </w:style>
  <w:style w:type="character" w:customStyle="1" w:styleId="87">
    <w:name w:val="Nivel 3 Char"/>
    <w:link w:val="86"/>
    <w:qFormat/>
    <w:uiPriority w:val="0"/>
    <w:rPr>
      <w:rFonts w:ascii="Arial" w:hAnsi="Arial" w:cs="Arial"/>
      <w:color w:val="000000"/>
    </w:rPr>
  </w:style>
  <w:style w:type="character" w:customStyle="1" w:styleId="88">
    <w:name w:val="Nivel 01 Char"/>
    <w:link w:val="85"/>
    <w:qFormat/>
    <w:uiPriority w:val="0"/>
    <w:rPr>
      <w:rFonts w:ascii="Arial" w:hAnsi="Arial" w:cs="Arial"/>
      <w:b/>
      <w:bCs/>
    </w:rPr>
  </w:style>
  <w:style w:type="paragraph" w:customStyle="1" w:styleId="89">
    <w:name w:val="Nivel_01_Titulo"/>
    <w:basedOn w:val="2"/>
    <w:next w:val="1"/>
    <w:link w:val="101"/>
    <w:qFormat/>
    <w:uiPriority w:val="0"/>
    <w:pPr>
      <w:numPr>
        <w:ilvl w:val="0"/>
        <w:numId w:val="2"/>
      </w:numPr>
      <w:tabs>
        <w:tab w:val="left" w:pos="567"/>
      </w:tabs>
      <w:spacing w:before="240" w:after="0"/>
      <w:ind w:left="360" w:hanging="990"/>
      <w:jc w:val="both"/>
    </w:pPr>
    <w:rPr>
      <w:rFonts w:ascii="Arial" w:hAnsi="Arial"/>
      <w:bCs/>
      <w:color w:val="2F5496"/>
      <w:sz w:val="20"/>
      <w:szCs w:val="20"/>
    </w:rPr>
  </w:style>
  <w:style w:type="paragraph" w:customStyle="1" w:styleId="90">
    <w:name w:val="Nivel1"/>
    <w:basedOn w:val="2"/>
    <w:next w:val="1"/>
    <w:qFormat/>
    <w:uiPriority w:val="0"/>
    <w:pPr>
      <w:numPr>
        <w:ilvl w:val="0"/>
        <w:numId w:val="3"/>
      </w:numPr>
      <w:spacing w:line="276" w:lineRule="auto"/>
      <w:ind w:left="1859"/>
      <w:jc w:val="both"/>
    </w:pPr>
    <w:rPr>
      <w:rFonts w:ascii="Arial" w:hAnsi="Arial" w:cs="Arial"/>
      <w:color w:val="000000"/>
      <w:sz w:val="32"/>
      <w:szCs w:val="32"/>
      <w:lang w:eastAsia="en-US"/>
    </w:rPr>
  </w:style>
  <w:style w:type="paragraph" w:customStyle="1" w:styleId="91">
    <w:name w:val="Nível 2 -Red"/>
    <w:basedOn w:val="83"/>
    <w:link w:val="97"/>
    <w:qFormat/>
    <w:uiPriority w:val="0"/>
    <w:pPr>
      <w:numPr>
        <w:ilvl w:val="1"/>
        <w:numId w:val="2"/>
      </w:numPr>
      <w:ind w:left="4969" w:hanging="360"/>
    </w:pPr>
    <w:rPr>
      <w:i/>
      <w:iCs/>
      <w:color w:val="FF0000"/>
    </w:rPr>
  </w:style>
  <w:style w:type="paragraph" w:customStyle="1" w:styleId="92">
    <w:name w:val="Nível 3-R"/>
    <w:basedOn w:val="86"/>
    <w:link w:val="93"/>
    <w:qFormat/>
    <w:uiPriority w:val="0"/>
    <w:pPr>
      <w:numPr>
        <w:ilvl w:val="2"/>
        <w:numId w:val="2"/>
      </w:numPr>
    </w:pPr>
    <w:rPr>
      <w:i/>
      <w:iCs/>
      <w:color w:val="FF0000"/>
    </w:rPr>
  </w:style>
  <w:style w:type="character" w:customStyle="1" w:styleId="93">
    <w:name w:val="Nível 3-R Char"/>
    <w:link w:val="92"/>
    <w:qFormat/>
    <w:uiPriority w:val="0"/>
    <w:rPr>
      <w:rFonts w:ascii="Arial" w:hAnsi="Arial" w:cs="Arial"/>
      <w:i/>
      <w:iCs/>
      <w:color w:val="FF0000"/>
    </w:rPr>
  </w:style>
  <w:style w:type="paragraph" w:customStyle="1" w:styleId="94">
    <w:name w:val="Nível 4-R"/>
    <w:basedOn w:val="1"/>
    <w:qFormat/>
    <w:uiPriority w:val="0"/>
    <w:pPr>
      <w:numPr>
        <w:ilvl w:val="3"/>
        <w:numId w:val="2"/>
      </w:numPr>
      <w:spacing w:before="120" w:after="120" w:line="276" w:lineRule="auto"/>
      <w:ind w:left="2491" w:hanging="648"/>
      <w:jc w:val="both"/>
    </w:pPr>
    <w:rPr>
      <w:rFonts w:ascii="Arial" w:hAnsi="Arial" w:cs="Arial"/>
      <w:i/>
      <w:iCs/>
      <w:color w:val="FF0000"/>
    </w:rPr>
  </w:style>
  <w:style w:type="paragraph" w:customStyle="1" w:styleId="95">
    <w:name w:val="ou"/>
    <w:basedOn w:val="34"/>
    <w:link w:val="96"/>
    <w:qFormat/>
    <w:uiPriority w:val="0"/>
    <w:pPr>
      <w:spacing w:before="60" w:after="60" w:line="259" w:lineRule="auto"/>
      <w:ind w:left="0"/>
      <w:contextualSpacing w:val="0"/>
      <w:jc w:val="center"/>
    </w:pPr>
    <w:rPr>
      <w:rFonts w:ascii="Arial" w:hAnsi="Arial" w:eastAsia="Calibri" w:cs="Arial"/>
      <w:b/>
      <w:bCs/>
      <w:i/>
      <w:iCs/>
      <w:color w:val="FF0000"/>
      <w:sz w:val="24"/>
      <w:szCs w:val="24"/>
      <w:u w:val="single"/>
    </w:rPr>
  </w:style>
  <w:style w:type="character" w:customStyle="1" w:styleId="96">
    <w:name w:val="ou Char"/>
    <w:link w:val="95"/>
    <w:qFormat/>
    <w:uiPriority w:val="0"/>
    <w:rPr>
      <w:rFonts w:ascii="Arial" w:hAnsi="Arial" w:eastAsia="Calibri" w:cs="Arial"/>
      <w:b/>
      <w:bCs/>
      <w:i/>
      <w:iCs/>
      <w:color w:val="FF0000"/>
      <w:sz w:val="24"/>
      <w:szCs w:val="24"/>
      <w:u w:val="single"/>
    </w:rPr>
  </w:style>
  <w:style w:type="character" w:customStyle="1" w:styleId="97">
    <w:name w:val="Nível 2 -Red Char"/>
    <w:link w:val="91"/>
    <w:qFormat/>
    <w:uiPriority w:val="0"/>
    <w:rPr>
      <w:rFonts w:ascii="Arial" w:hAnsi="Arial" w:cs="Arial"/>
      <w:i/>
      <w:iCs/>
      <w:color w:val="FF0000"/>
    </w:rPr>
  </w:style>
  <w:style w:type="paragraph" w:customStyle="1" w:styleId="98">
    <w:name w:val="Nivel 3-erro"/>
    <w:basedOn w:val="86"/>
    <w:link w:val="99"/>
    <w:qFormat/>
    <w:uiPriority w:val="0"/>
    <w:pPr>
      <w:spacing w:line="240" w:lineRule="auto"/>
      <w:ind w:left="425" w:hanging="504"/>
    </w:pPr>
    <w:rPr>
      <w:rFonts w:cs="Tahoma"/>
      <w:color w:val="auto"/>
      <w:szCs w:val="24"/>
    </w:rPr>
  </w:style>
  <w:style w:type="character" w:customStyle="1" w:styleId="99">
    <w:name w:val="Nivel 3-erro Char"/>
    <w:link w:val="98"/>
    <w:qFormat/>
    <w:uiPriority w:val="0"/>
    <w:rPr>
      <w:rFonts w:ascii="Arial" w:hAnsi="Arial" w:cs="Tahoma"/>
      <w:szCs w:val="24"/>
    </w:rPr>
  </w:style>
  <w:style w:type="character" w:customStyle="1" w:styleId="100">
    <w:name w:val="normaltextrun"/>
    <w:basedOn w:val="8"/>
    <w:qFormat/>
    <w:uiPriority w:val="0"/>
  </w:style>
  <w:style w:type="character" w:customStyle="1" w:styleId="101">
    <w:name w:val="Nivel_01_Titulo Char"/>
    <w:link w:val="89"/>
    <w:qFormat/>
    <w:uiPriority w:val="0"/>
    <w:rPr>
      <w:rFonts w:ascii="Arial" w:hAnsi="Arial"/>
      <w:b/>
      <w:bCs/>
      <w:color w:val="2F5496"/>
    </w:rPr>
  </w:style>
  <w:style w:type="character" w:customStyle="1" w:styleId="102">
    <w:name w:val="cf01"/>
    <w:qFormat/>
    <w:uiPriority w:val="0"/>
    <w:rPr>
      <w:rFonts w:hint="default" w:ascii="Segoe UI" w:hAnsi="Segoe UI" w:cs="Segoe UI"/>
      <w:sz w:val="18"/>
      <w:szCs w:val="18"/>
    </w:rPr>
  </w:style>
  <w:style w:type="character" w:customStyle="1" w:styleId="103">
    <w:name w:val="Default Char"/>
    <w:link w:val="53"/>
    <w:qFormat/>
    <w:uiPriority w:val="0"/>
    <w:rPr>
      <w:rFonts w:ascii="Minion Pro" w:hAnsi="Minion Pro" w:cs="Minion Pro" w:eastAsiaTheme="minorHAnsi"/>
      <w:color w:val="000000"/>
      <w:sz w:val="24"/>
      <w:szCs w:val="24"/>
      <w:lang w:eastAsia="en-US"/>
    </w:rPr>
  </w:style>
  <w:style w:type="paragraph" w:customStyle="1" w:styleId="104">
    <w:name w:val="pf0"/>
    <w:basedOn w:val="1"/>
    <w:qFormat/>
    <w:uiPriority w:val="0"/>
    <w:pPr>
      <w:spacing w:before="100" w:beforeAutospacing="1" w:after="100" w:afterAutospacing="1"/>
    </w:pPr>
    <w:rPr>
      <w:sz w:val="24"/>
      <w:szCs w:val="24"/>
    </w:rPr>
  </w:style>
  <w:style w:type="character" w:customStyle="1" w:styleId="105">
    <w:name w:val="Parágrafo da Lista Char"/>
    <w:link w:val="34"/>
    <w:qFormat/>
    <w:uiPriority w:val="34"/>
  </w:style>
  <w:style w:type="paragraph" w:customStyle="1" w:styleId="106">
    <w:name w:val="Nivel 4"/>
    <w:basedOn w:val="86"/>
    <w:link w:val="108"/>
    <w:qFormat/>
    <w:uiPriority w:val="0"/>
    <w:pPr>
      <w:ind w:left="851" w:firstLine="0"/>
    </w:pPr>
    <w:rPr>
      <w:rFonts w:eastAsia="MS Mincho"/>
      <w:color w:val="auto"/>
    </w:rPr>
  </w:style>
  <w:style w:type="paragraph" w:customStyle="1" w:styleId="107">
    <w:name w:val="Nivel 5"/>
    <w:basedOn w:val="106"/>
    <w:qFormat/>
    <w:uiPriority w:val="0"/>
    <w:pPr>
      <w:ind w:left="1276"/>
    </w:pPr>
  </w:style>
  <w:style w:type="character" w:customStyle="1" w:styleId="108">
    <w:name w:val="Nivel 4 Char"/>
    <w:link w:val="106"/>
    <w:qFormat/>
    <w:uiPriority w:val="0"/>
    <w:rPr>
      <w:rFonts w:ascii="Arial" w:hAnsi="Arial" w:eastAsia="MS Mincho" w:cs="Arial"/>
    </w:rPr>
  </w:style>
  <w:style w:type="paragraph" w:customStyle="1" w:styleId="109">
    <w:name w:val="Nivel 1"/>
    <w:basedOn w:val="83"/>
    <w:next w:val="83"/>
    <w:qFormat/>
    <w:uiPriority w:val="0"/>
    <w:pPr>
      <w:tabs>
        <w:tab w:val="left" w:pos="360"/>
      </w:tabs>
      <w:ind w:left="858"/>
    </w:pPr>
    <w:rPr>
      <w:rFonts w:ascii="Ecofont_Spranq_eco_Sans" w:hAnsi="Ecofont_Spranq_eco_Sans" w:eastAsia="Arial Unicode MS"/>
      <w:b/>
      <w:color w:val="auto"/>
    </w:rPr>
  </w:style>
  <w:style w:type="character" w:customStyle="1" w:styleId="110">
    <w:name w:val="cf11"/>
    <w:uiPriority w:val="0"/>
    <w:rPr>
      <w:rFonts w:hint="default" w:ascii="Segoe UI" w:hAnsi="Segoe UI" w:cs="Segoe UI"/>
      <w:i/>
      <w:iCs/>
      <w:sz w:val="18"/>
      <w:szCs w:val="18"/>
    </w:rPr>
  </w:style>
  <w:style w:type="paragraph" w:customStyle="1" w:styleId="111">
    <w:name w:val="PADRÃO"/>
    <w:qFormat/>
    <w:uiPriority w:val="0"/>
    <w:pPr>
      <w:keepNext/>
      <w:widowControl w:val="0"/>
      <w:shd w:val="clear" w:color="auto" w:fill="FFFFFF"/>
      <w:spacing w:before="119" w:after="119" w:line="276" w:lineRule="auto"/>
      <w:ind w:firstLine="567"/>
      <w:jc w:val="both"/>
      <w:textAlignment w:val="baseline"/>
    </w:pPr>
    <w:rPr>
      <w:rFonts w:ascii="Ecofont_Spranq_eco_Sans" w:hAnsi="Ecofont_Spranq_eco_Sans" w:eastAsia="WenQuanYi Micro Hei" w:cs="Lohit Hindi"/>
      <w:szCs w:val="24"/>
      <w:lang w:val="pt-BR" w:eastAsia="zh-CN" w:bidi="hi-IN"/>
    </w:rPr>
  </w:style>
  <w:style w:type="paragraph" w:customStyle="1" w:styleId="112">
    <w:name w:val="Revision"/>
    <w:hidden/>
    <w:semiHidden/>
    <w:uiPriority w:val="99"/>
    <w:rPr>
      <w:rFonts w:ascii="Times New Roman" w:hAnsi="Times New Roman" w:eastAsia="Times New Roman" w:cs="Times New Roman"/>
      <w:sz w:val="24"/>
      <w:szCs w:val="24"/>
      <w:lang w:val="pt-BR" w:eastAsia="pt-BR" w:bidi="ar-SA"/>
    </w:rPr>
  </w:style>
  <w:style w:type="paragraph" w:customStyle="1" w:styleId="113">
    <w:name w:val="Nível 4"/>
    <w:basedOn w:val="1"/>
    <w:qFormat/>
    <w:uiPriority w:val="0"/>
    <w:pPr>
      <w:spacing w:before="120" w:after="120" w:line="276" w:lineRule="auto"/>
      <w:ind w:left="567"/>
      <w:jc w:val="both"/>
    </w:pPr>
    <w:rPr>
      <w:rFonts w:ascii="Arial" w:hAnsi="Arial" w:cs="Arial"/>
    </w:rPr>
  </w:style>
  <w:style w:type="paragraph" w:customStyle="1" w:styleId="114">
    <w:name w:val="Recuo de corpo de texto 21"/>
    <w:basedOn w:val="1"/>
    <w:uiPriority w:val="0"/>
    <w:pPr>
      <w:suppressAutoHyphens/>
      <w:spacing w:after="120" w:line="480" w:lineRule="auto"/>
      <w:ind w:left="283"/>
    </w:pPr>
    <w:rPr>
      <w:sz w:val="24"/>
      <w:szCs w:val="24"/>
      <w:lang w:eastAsia="ar-SA"/>
    </w:rPr>
  </w:style>
  <w:style w:type="paragraph" w:customStyle="1" w:styleId="115">
    <w:name w:val="Nível 3"/>
    <w:basedOn w:val="92"/>
    <w:link w:val="116"/>
    <w:qFormat/>
    <w:uiPriority w:val="0"/>
    <w:pPr>
      <w:numPr>
        <w:numId w:val="0"/>
      </w:numPr>
      <w:ind w:left="284"/>
    </w:pPr>
    <w:rPr>
      <w:i w:val="0"/>
      <w:iCs w:val="0"/>
      <w:color w:val="auto"/>
    </w:rPr>
  </w:style>
  <w:style w:type="character" w:customStyle="1" w:styleId="116">
    <w:name w:val="Nível 3 Char"/>
    <w:link w:val="115"/>
    <w:uiPriority w:val="0"/>
    <w:rPr>
      <w:rFonts w:ascii="Arial" w:hAnsi="Arial" w:cs="Arial"/>
    </w:rPr>
  </w:style>
  <w:style w:type="character" w:customStyle="1" w:styleId="117">
    <w:name w:val="Título 3 Char"/>
    <w:basedOn w:val="8"/>
    <w:link w:val="4"/>
    <w:qFormat/>
    <w:uiPriority w:val="9"/>
    <w:rPr>
      <w:b/>
      <w:sz w:val="28"/>
      <w:szCs w:val="28"/>
    </w:rPr>
  </w:style>
  <w:style w:type="character" w:customStyle="1" w:styleId="118">
    <w:name w:val="Título 4 Char"/>
    <w:basedOn w:val="8"/>
    <w:link w:val="5"/>
    <w:uiPriority w:val="9"/>
    <w:rPr>
      <w:b/>
      <w:sz w:val="24"/>
      <w:szCs w:val="24"/>
    </w:rPr>
  </w:style>
  <w:style w:type="character" w:customStyle="1" w:styleId="119">
    <w:name w:val="Título 5 Char"/>
    <w:basedOn w:val="8"/>
    <w:link w:val="6"/>
    <w:uiPriority w:val="9"/>
    <w:rPr>
      <w:b/>
      <w:sz w:val="22"/>
      <w:szCs w:val="22"/>
    </w:rPr>
  </w:style>
  <w:style w:type="character" w:customStyle="1" w:styleId="120">
    <w:name w:val="Título 6 Char"/>
    <w:basedOn w:val="8"/>
    <w:link w:val="7"/>
    <w:uiPriority w:val="9"/>
    <w:rPr>
      <w:b/>
    </w:rPr>
  </w:style>
  <w:style w:type="character" w:customStyle="1" w:styleId="121">
    <w:name w:val="Subtítulo Char"/>
    <w:basedOn w:val="8"/>
    <w:link w:val="26"/>
    <w:uiPriority w:val="11"/>
    <w:rPr>
      <w:rFonts w:ascii="Georgia" w:hAnsi="Georgia" w:eastAsia="Georgia" w:cs="Georgia"/>
      <w:i/>
      <w:color w:val="666666"/>
      <w:sz w:val="48"/>
      <w:szCs w:val="48"/>
    </w:rPr>
  </w:style>
  <w:style w:type="paragraph" w:customStyle="1" w:styleId="122">
    <w:name w:val="Título 11"/>
    <w:basedOn w:val="1"/>
    <w:qFormat/>
    <w:uiPriority w:val="1"/>
    <w:pPr>
      <w:widowControl w:val="0"/>
      <w:ind w:left="292" w:hanging="174"/>
      <w:outlineLvl w:val="1"/>
    </w:pPr>
    <w:rPr>
      <w:rFonts w:ascii="Calibri" w:hAnsi="Calibri" w:eastAsia="Calibri" w:cs="Calibri"/>
      <w:b/>
      <w:bCs/>
      <w:sz w:val="24"/>
      <w:szCs w:val="24"/>
      <w:lang w:val="pt-PT"/>
    </w:rPr>
  </w:style>
  <w:style w:type="paragraph" w:customStyle="1" w:styleId="123">
    <w:name w:val="msonormal"/>
    <w:basedOn w:val="1"/>
    <w:uiPriority w:val="0"/>
    <w:pPr>
      <w:spacing w:before="100" w:beforeAutospacing="1" w:after="100" w:afterAutospacing="1"/>
    </w:pPr>
    <w:rPr>
      <w:sz w:val="24"/>
      <w:szCs w:val="24"/>
    </w:rPr>
  </w:style>
  <w:style w:type="paragraph" w:customStyle="1" w:styleId="124">
    <w:name w:val="tabela_texto_alinhado_esquerda"/>
    <w:basedOn w:val="1"/>
    <w:uiPriority w:val="0"/>
    <w:pPr>
      <w:spacing w:before="100" w:beforeAutospacing="1" w:after="100" w:afterAutospacing="1"/>
    </w:pPr>
    <w:rPr>
      <w:sz w:val="24"/>
      <w:szCs w:val="24"/>
    </w:rPr>
  </w:style>
  <w:style w:type="paragraph" w:customStyle="1" w:styleId="125">
    <w:name w:val="tabela_texto_centralizado"/>
    <w:basedOn w:val="1"/>
    <w:uiPriority w:val="0"/>
    <w:pPr>
      <w:spacing w:before="100" w:beforeAutospacing="1" w:after="100" w:afterAutospacing="1"/>
    </w:pPr>
    <w:rPr>
      <w:sz w:val="24"/>
      <w:szCs w:val="24"/>
    </w:rPr>
  </w:style>
  <w:style w:type="paragraph" w:customStyle="1" w:styleId="126">
    <w:name w:val="texto_alinhado_esquerda"/>
    <w:basedOn w:val="1"/>
    <w:uiPriority w:val="0"/>
    <w:pPr>
      <w:spacing w:before="100" w:beforeAutospacing="1" w:after="100" w:afterAutospacing="1"/>
    </w:pPr>
    <w:rPr>
      <w:sz w:val="24"/>
      <w:szCs w:val="24"/>
    </w:rPr>
  </w:style>
  <w:style w:type="paragraph" w:customStyle="1" w:styleId="127">
    <w:name w:val="texto_justificado"/>
    <w:basedOn w:val="1"/>
    <w:qFormat/>
    <w:uiPriority w:val="0"/>
    <w:pPr>
      <w:spacing w:before="100" w:beforeAutospacing="1" w:after="100" w:afterAutospacing="1"/>
    </w:pPr>
    <w:rPr>
      <w:sz w:val="24"/>
      <w:szCs w:val="24"/>
    </w:rPr>
  </w:style>
  <w:style w:type="paragraph" w:customStyle="1" w:styleId="128">
    <w:name w:val="tabela_texto_alinhado_direita"/>
    <w:basedOn w:val="1"/>
    <w:uiPriority w:val="0"/>
    <w:pPr>
      <w:spacing w:before="100" w:beforeAutospacing="1" w:after="100" w:afterAutospacing="1"/>
    </w:pPr>
    <w:rPr>
      <w:sz w:val="24"/>
      <w:szCs w:val="24"/>
    </w:rPr>
  </w:style>
  <w:style w:type="paragraph" w:customStyle="1" w:styleId="129">
    <w:name w:val="texto_centralizado"/>
    <w:basedOn w:val="1"/>
    <w:uiPriority w:val="0"/>
    <w:pPr>
      <w:spacing w:before="100" w:beforeAutospacing="1" w:after="100" w:afterAutospacing="1"/>
    </w:pPr>
    <w:rPr>
      <w:sz w:val="24"/>
      <w:szCs w:val="24"/>
    </w:rPr>
  </w:style>
  <w:style w:type="paragraph" w:customStyle="1" w:styleId="130">
    <w:name w:val="texto_centralizado_maiusculas"/>
    <w:basedOn w:val="1"/>
    <w:uiPriority w:val="0"/>
    <w:pPr>
      <w:spacing w:before="100" w:beforeAutospacing="1" w:after="100" w:afterAutospacing="1"/>
    </w:pPr>
    <w:rPr>
      <w:sz w:val="24"/>
      <w:szCs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dGJSLzgcsFhq5+ry/kjen7xknA==">CgMxLjA4AHIhMWlCTzhycGRGTHFYMmhZc3ZCelJyNVBUMkFoRU5vQ0xu</go:docsCustomData>
</go:gDocsCustomXmlDataStorage>
</file>

<file path=customXml/itemProps1.xml><?xml version="1.0" encoding="utf-8"?>
<ds:datastoreItem xmlns:ds="http://schemas.openxmlformats.org/officeDocument/2006/customXml" ds:itemID="{8F5E66BC-5FC6-498A-95B0-619219AEF5B5}">
  <ds:schemaRefs/>
</ds:datastoreItem>
</file>

<file path=customXml/itemProps2.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Template>Normal.dotm</Template>
  <Pages>112</Pages>
  <Words>372</Words>
  <Characters>2155</Characters>
  <Lines>1492</Lines>
  <Paragraphs>423</Paragraphs>
  <TotalTime>289</TotalTime>
  <ScaleCrop>false</ScaleCrop>
  <LinksUpToDate>false</LinksUpToDate>
  <CharactersWithSpaces>2543</CharactersWithSpaces>
  <Application>WPS Office_12.1.0.26372_F1E327BC-269C-435d-A152-05C5408002CA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2026-04-27T12:22:00Z</dcterms:created>
  <dc:creator>Sabrina Guimarães</dc:creator>
  <cp:lastModifiedBy>licitacao04</cp:lastModifiedBy>
  <cp:lastPrinted>2025-06-24T12:04:00Z</cp:lastPrinted>
  <dcterms:modified xsi:type="dcterms:W3CDTF">2026-05-18T17:57:23Z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eyJoZGlkIjoiODk5ZDUzODY0MzRjZDU1MTZjNjdmZjFjZGJkZmQ3NTUifQ==</vt:lpwstr>
  </property>
  <property fmtid="{D5CDD505-2E9C-101B-9397-08002B2CF9AE}" pid="3" name="KSOProductBuildVer">
    <vt:lpwstr>1046-12.1.0.26372</vt:lpwstr>
  </property>
  <property fmtid="{D5CDD505-2E9C-101B-9397-08002B2CF9AE}" pid="4" name="ICV">
    <vt:lpwstr>CA57A5CDC6864EA3B91338AABAAFED46_13</vt:lpwstr>
  </property>
</Properties>
</file>